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rFonts w:ascii="Times New Roman" w:hAnsi="Times New Roman" w:hint="eastAsia"/>
          <w:b/>
          <w:color w:val="ff0000"/>
          <w:spacing w:val="20"/>
          <w:sz w:val="36"/>
          <w:szCs w:val="36"/>
        </w:rPr>
      </w:pPr>
      <w:r>
        <w:rPr>
          <w:rFonts w:ascii="Times New Roman" w:hAnsi="Times New Roman" w:hint="eastAsia"/>
          <w:b/>
          <w:color w:val="ff0000"/>
          <w:spacing w:val="20"/>
          <w:sz w:val="36"/>
          <w:szCs w:val="36"/>
        </w:rPr>
      </w:r>
    </w:p>
    <w:p>
      <w:pPr>
        <w:spacing/>
        <w:jc w:val="center"/>
        <w:rPr>
          <w:rFonts w:ascii="Times New Roman" w:hAnsi="Times New Roman" w:hint="eastAsia"/>
          <w:b/>
          <w:color w:val="ff0000"/>
          <w:spacing w:val="20"/>
          <w:sz w:val="36"/>
          <w:szCs w:val="36"/>
        </w:rPr>
      </w:pPr>
      <w:r>
        <w:rPr>
          <w:rFonts w:ascii="Times New Roman" w:hAnsi="Times New Roman" w:hint="eastAsia"/>
          <w:color w:val="ff0000"/>
          <w:spacing w:val="19"/>
          <w:sz w:val="36"/>
          <w:szCs w:val="36"/>
        </w:rPr>
        <w:t>马</w:t>
      </w:r>
      <w:r>
        <w:rPr>
          <w:rFonts w:ascii="Times New Roman" w:hAnsi="Times New Roman" w:hint="eastAsia"/>
          <w:b/>
          <w:color w:val="ff0000"/>
          <w:spacing w:val="20"/>
          <w:sz w:val="36"/>
          <w:szCs w:val="36"/>
        </w:rPr>
        <w:t>来西</w:t>
      </w:r>
      <w:r>
        <w:rPr>
          <w:rFonts w:ascii="Times New Roman" w:hAnsi="Times New Roman" w:hint="eastAsia"/>
          <w:color w:val="ff0000"/>
          <w:spacing w:val="19"/>
          <w:sz w:val="36"/>
          <w:szCs w:val="36"/>
        </w:rPr>
        <w:t>亚</w:t>
      </w:r>
      <w:r>
        <w:rPr>
          <w:rFonts w:ascii="Times New Roman" w:hAnsi="Times New Roman" w:hint="eastAsia"/>
          <w:b/>
          <w:color w:val="ff0000"/>
          <w:spacing w:val="20"/>
          <w:sz w:val="36"/>
          <w:szCs w:val="36"/>
        </w:rPr>
        <w:t>英迪国</w:t>
      </w:r>
      <w:r>
        <w:rPr>
          <w:rFonts w:ascii="Times New Roman" w:hAnsi="Times New Roman" w:hint="eastAsia"/>
          <w:color w:val="ff0000"/>
          <w:spacing w:val="19"/>
          <w:sz w:val="36"/>
          <w:szCs w:val="36"/>
        </w:rPr>
        <w:t>际</w:t>
      </w:r>
      <w:r>
        <w:rPr>
          <w:rFonts w:ascii="Times New Roman" w:hAnsi="Times New Roman" w:hint="eastAsia"/>
          <w:b/>
          <w:color w:val="ff0000"/>
          <w:spacing w:val="20"/>
          <w:sz w:val="36"/>
          <w:szCs w:val="36"/>
        </w:rPr>
        <w:t>大学</w:t>
      </w:r>
      <w:r>
        <w:rPr>
          <w:rFonts w:ascii="Times New Roman" w:hAnsi="Times New Roman" w:hint="eastAsia"/>
          <w:color w:val="ff0000"/>
          <w:spacing w:val="19"/>
          <w:sz w:val="36"/>
          <w:szCs w:val="36"/>
        </w:rPr>
        <w:t>简</w:t>
      </w:r>
      <w:r>
        <w:rPr>
          <w:rFonts w:ascii="Times New Roman" w:hAnsi="Times New Roman" w:hint="eastAsia"/>
          <w:b/>
          <w:color w:val="ff0000"/>
          <w:spacing w:val="20"/>
          <w:sz w:val="36"/>
          <w:szCs w:val="36"/>
        </w:rPr>
        <w:t>介</w:t>
      </w:r>
      <w:r>
        <w:rPr>
          <w:rFonts w:ascii="Times New Roman" w:hAnsi="Times New Roman" w:hint="eastAsia"/>
          <w:b/>
          <w:color w:val="ff0000"/>
          <w:spacing w:val="20"/>
          <w:sz w:val="36"/>
          <w:szCs w:val="36"/>
        </w:rPr>
      </w:r>
    </w:p>
    <w:p>
      <w:pPr>
        <w:spacing/>
        <w:jc w:val="center"/>
        <w:rPr>
          <w:rFonts w:ascii="Times New Roman" w:hAnsi="Times New Roman" w:hint="eastAsia"/>
          <w:b/>
          <w:color w:val="ff0000"/>
          <w:spacing w:val="20"/>
          <w:sz w:val="36"/>
          <w:szCs w:val="36"/>
        </w:rPr>
      </w:pPr>
      <w:r>
        <w:rPr>
          <w:noProof w:val="1"/>
        </w:rPr>
      </w:r>
      <w:r>
        <w:rPr>
          <w:noProof/>
        </w:rPr>
        <w:drawing>
          <wp:inline distT="89535" distB="89535" distL="89535" distR="89535">
            <wp:extent cx="5292090" cy="4011295"/>
            <wp:effectExtent l="0" t="0" r="0" b="0"/>
            <wp:docPr id="1" name="图片模式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模式6"/>
                    <pic:cNvPicPr>
                      <a:picLocks noChangeAspect="1"/>
                      <a:extLst>
                        <a:ext uri="smNativeData">
                          <sm:smNativeData xmlns:sm="smo" val="SMDATA_12_UPGhWx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I4gAACtGAAAjiAAAK0YAAAAAAAACQAAAAQAAAAAAAAADAAAABAAAAAAAAAAAAAAAAAAAAAAAAAAHgAAAGgAAAAAAAAAAAAAAAAAAAAAAAAAAAAAABAnAAAQJwAAAAAAAAAAAAAAAAAAAAAAAAAAAAAAAAAAAAAAAAAAAAAUAAAAAAAAAMDA/wAAAAAAZAAAADIAAAAAAAAAZAAAAAAAAAB/f38ACgAAACEAAABAAAAAPAAAAAAAAAAAAAAAAAAAAAAAAAAAAAAAAAAAAAAAAAAAAAAAAAAAAAAAAACOIAAArRgAAAAAAAAAAAAAAAAAAA=="/>
                        </a:ext>
                      </a:extLst>
                    </pic:cNvPicPr>
                  </pic:nvPicPr>
                  <pic:blipFill>
                    <a:blip r:embed="rId7"/>
                    <a:stretch>
                      <a:fillRect/>
                    </a:stretch>
                  </pic:blipFill>
                  <pic:spPr>
                    <a:xfrm>
                      <a:off x="0" y="0"/>
                      <a:ext cx="5292090" cy="4011295"/>
                    </a:xfrm>
                    <a:prstGeom prst="rect">
                      <a:avLst/>
                    </a:prstGeom>
                    <a:noFill/>
                    <a:ln w="12700">
                      <a:noFill/>
                    </a:ln>
                  </pic:spPr>
                </pic:pic>
              </a:graphicData>
            </a:graphic>
          </wp:inline>
        </w:drawing>
      </w:r>
      <w:r>
        <w:rPr>
          <w:noProof w:val="1"/>
        </w:rPr>
      </w:r>
      <w:r>
        <w:rPr>
          <w:rFonts w:ascii="Times New Roman" w:hAnsi="Times New Roman" w:hint="eastAsia"/>
          <w:b/>
          <w:color w:val="ff0000"/>
          <w:spacing w:val="20"/>
          <w:sz w:val="36"/>
          <w:szCs w:val="36"/>
        </w:rPr>
      </w:r>
    </w:p>
    <w:p>
      <w:pPr>
        <w:ind w:firstLine="640"/>
        <w:spacing/>
        <w:jc w:val="left"/>
        <w:rPr>
          <w:rFonts w:ascii="Times New Roman" w:hAnsi="Times New Roman" w:eastAsia="PMingLiUfalt" w:hint="eastAsia"/>
          <w:color w:val="3366ff"/>
          <w:spacing w:val="23"/>
          <w:sz w:val="32"/>
          <w:szCs w:val="32"/>
        </w:rPr>
      </w:pPr>
      <w:r>
        <w:rPr>
          <w:rFonts w:ascii="Times New Roman" w:hAnsi="Times New Roman" w:eastAsia="PMingLiUfalt" w:hint="eastAsia"/>
          <w:spacing w:val="23"/>
          <w:sz w:val="32"/>
          <w:szCs w:val="32"/>
        </w:rPr>
        <w:t>英迪国际大学成立干</w:t>
      </w:r>
      <w:r>
        <w:rPr>
          <w:rFonts w:ascii="Times New Roman" w:hAnsi="Times New Roman" w:eastAsia="PMingLiUfalt"/>
          <w:spacing w:val="23"/>
          <w:sz w:val="32"/>
          <w:szCs w:val="32"/>
        </w:rPr>
        <w:t>1986</w:t>
      </w:r>
      <w:r>
        <w:rPr>
          <w:rFonts w:ascii="Times New Roman" w:hAnsi="Times New Roman" w:eastAsia="PMingLiUfalt" w:hint="eastAsia"/>
          <w:spacing w:val="23"/>
          <w:sz w:val="32"/>
          <w:szCs w:val="32"/>
        </w:rPr>
        <w:t>年，</w:t>
      </w:r>
      <w:r>
        <w:rPr>
          <w:rFonts w:ascii="Times New Roman" w:hAnsi="Times New Roman" w:eastAsia="宋体" w:hint="eastAsia"/>
          <w:spacing w:val="23"/>
          <w:sz w:val="32"/>
          <w:szCs w:val="32"/>
        </w:rPr>
        <w:t>位于森美兰州的汝来地区，</w:t>
      </w:r>
      <w:r>
        <w:rPr>
          <w:rFonts w:ascii="Times New Roman" w:hAnsi="Times New Roman" w:eastAsia="PMingLiUfalt" w:hint="eastAsia"/>
          <w:spacing w:val="23"/>
          <w:sz w:val="32"/>
          <w:szCs w:val="32"/>
        </w:rPr>
        <w:t>目前在全马拥有六个校园,现有在籍学生</w:t>
      </w:r>
      <w:r>
        <w:rPr>
          <w:rFonts w:ascii="Times New Roman" w:hAnsi="Times New Roman" w:eastAsia="PMingLiUfalt"/>
          <w:spacing w:val="23"/>
          <w:sz w:val="32"/>
          <w:szCs w:val="32"/>
        </w:rPr>
        <w:t>16,000</w:t>
      </w:r>
      <w:r>
        <w:rPr>
          <w:rFonts w:ascii="Times New Roman" w:hAnsi="Times New Roman" w:eastAsia="PMingLiUfalt" w:hint="eastAsia"/>
          <w:spacing w:val="23"/>
          <w:sz w:val="32"/>
          <w:szCs w:val="32"/>
        </w:rPr>
        <w:t>人，其中包括来自全球</w:t>
      </w:r>
      <w:r>
        <w:rPr>
          <w:rFonts w:ascii="Times New Roman" w:hAnsi="Times New Roman" w:eastAsia="PMingLiUfalt"/>
          <w:spacing w:val="23"/>
          <w:sz w:val="32"/>
          <w:szCs w:val="32"/>
        </w:rPr>
        <w:t>60</w:t>
      </w:r>
      <w:r>
        <w:rPr>
          <w:rFonts w:ascii="Times New Roman" w:hAnsi="Times New Roman" w:eastAsia="PMingLiUfalt" w:hint="eastAsia"/>
          <w:spacing w:val="23"/>
          <w:sz w:val="32"/>
          <w:szCs w:val="32"/>
        </w:rPr>
        <w:t>多个国家的</w:t>
      </w:r>
      <w:r>
        <w:rPr>
          <w:rFonts w:ascii="Times New Roman" w:hAnsi="Times New Roman" w:eastAsia="PMingLiUfalt"/>
          <w:spacing w:val="23"/>
          <w:sz w:val="32"/>
          <w:szCs w:val="32"/>
        </w:rPr>
        <w:t>2,000</w:t>
      </w:r>
      <w:r>
        <w:rPr>
          <w:rFonts w:ascii="Times New Roman" w:hAnsi="Times New Roman" w:eastAsia="PMingLiUfalt" w:hint="eastAsia"/>
          <w:spacing w:val="23"/>
          <w:sz w:val="32"/>
          <w:szCs w:val="32"/>
        </w:rPr>
        <w:t>多名国际学生</w:t>
      </w:r>
      <w:r>
        <w:rPr>
          <w:rFonts w:ascii="Times New Roman" w:hAnsi="Times New Roman" w:eastAsia="宋体" w:hint="eastAsia"/>
          <w:spacing w:val="23"/>
          <w:sz w:val="32"/>
          <w:szCs w:val="32"/>
        </w:rPr>
        <w:t>，校园占地近</w:t>
      </w:r>
      <w:r>
        <w:rPr>
          <w:rFonts w:ascii="Times New Roman" w:hAnsi="Times New Roman" w:eastAsia="宋体"/>
          <w:spacing w:val="23"/>
          <w:sz w:val="32"/>
          <w:szCs w:val="32"/>
        </w:rPr>
        <w:t>90</w:t>
      </w:r>
      <w:r>
        <w:rPr>
          <w:rFonts w:ascii="Times New Roman" w:hAnsi="Times New Roman" w:eastAsia="宋体" w:hint="eastAsia"/>
          <w:spacing w:val="23"/>
          <w:sz w:val="32"/>
          <w:szCs w:val="32"/>
        </w:rPr>
        <w:t>英亩。校区由行政楼，教学楼，学习资源中心，学生中心，学生服务中心，奥林匹克标准型游泳池以及十六栋宿舍大楼组成,仿如设施齐全的小市镇。距离首都吉隆坡只有</w:t>
      </w:r>
      <w:r>
        <w:rPr>
          <w:rFonts w:ascii="Times New Roman" w:hAnsi="Times New Roman" w:eastAsia="宋体"/>
          <w:spacing w:val="23"/>
          <w:sz w:val="32"/>
          <w:szCs w:val="32"/>
        </w:rPr>
        <w:t>40</w:t>
      </w:r>
      <w:r>
        <w:rPr>
          <w:rFonts w:ascii="Times New Roman" w:hAnsi="Times New Roman" w:eastAsia="宋体" w:hint="eastAsia"/>
          <w:spacing w:val="23"/>
          <w:sz w:val="32"/>
          <w:szCs w:val="32"/>
        </w:rPr>
        <w:t>分钟的车程，距离吉隆坡国际机场（</w:t>
      </w:r>
      <w:r>
        <w:rPr>
          <w:rFonts w:ascii="Times New Roman" w:hAnsi="Times New Roman" w:eastAsia="宋体"/>
          <w:spacing w:val="23"/>
          <w:sz w:val="32"/>
          <w:szCs w:val="32"/>
        </w:rPr>
        <w:t>KLIA</w:t>
      </w:r>
      <w:r>
        <w:rPr>
          <w:rFonts w:ascii="Times New Roman" w:hAnsi="Times New Roman" w:eastAsia="宋体" w:hint="eastAsia"/>
          <w:spacing w:val="23"/>
          <w:sz w:val="32"/>
          <w:szCs w:val="32"/>
        </w:rPr>
        <w:t>）</w:t>
      </w:r>
      <w:r>
        <w:rPr>
          <w:rFonts w:ascii="Times New Roman" w:hAnsi="Times New Roman" w:eastAsia="宋体"/>
          <w:spacing w:val="23"/>
          <w:sz w:val="32"/>
          <w:szCs w:val="32"/>
        </w:rPr>
        <w:t>15</w:t>
      </w:r>
      <w:r>
        <w:rPr>
          <w:rFonts w:ascii="Times New Roman" w:hAnsi="Times New Roman" w:eastAsia="宋体" w:hint="eastAsia"/>
          <w:spacing w:val="23"/>
          <w:sz w:val="32"/>
          <w:szCs w:val="32"/>
        </w:rPr>
        <w:t>分钟的车程。</w:t>
      </w:r>
      <w:r>
        <w:rPr>
          <w:rFonts w:ascii="Times New Roman" w:hAnsi="Times New Roman" w:eastAsia="PMingLiUfalt" w:hint="eastAsia"/>
          <w:spacing w:val="23"/>
          <w:sz w:val="32"/>
          <w:szCs w:val="32"/>
        </w:rPr>
        <w:t>作为马来西亚教育界先驱之一</w:t>
      </w:r>
      <w:r>
        <w:rPr>
          <w:rFonts w:ascii="Times New Roman" w:hAnsi="Times New Roman" w:eastAsia="PMingLiUfalt"/>
          <w:spacing w:val="23"/>
          <w:sz w:val="32"/>
          <w:szCs w:val="32"/>
        </w:rPr>
        <w:t>.</w:t>
      </w:r>
      <w:r>
        <w:rPr>
          <w:rFonts w:ascii="Times New Roman" w:hAnsi="Times New Roman" w:eastAsia="PMingLiUfalt" w:hint="eastAsia"/>
          <w:spacing w:val="23"/>
          <w:sz w:val="32"/>
          <w:szCs w:val="32"/>
        </w:rPr>
        <w:t>英迪以提供优质的高等教育而享誉学术界。英迪与全球</w:t>
      </w:r>
      <w:r>
        <w:rPr>
          <w:rFonts w:ascii="Times New Roman" w:hAnsi="Times New Roman" w:eastAsia="PMingLiUfalt"/>
          <w:spacing w:val="23"/>
          <w:sz w:val="32"/>
          <w:szCs w:val="32"/>
        </w:rPr>
        <w:t>300</w:t>
      </w:r>
      <w:r>
        <w:rPr>
          <w:rFonts w:ascii="Times New Roman" w:hAnsi="Times New Roman" w:eastAsia="PMingLiUfalt" w:hint="eastAsia"/>
          <w:spacing w:val="23"/>
          <w:sz w:val="32"/>
          <w:szCs w:val="32"/>
        </w:rPr>
        <w:t>多所高校建有合</w:t>
      </w:r>
      <w:r>
        <w:rPr>
          <w:rFonts w:ascii="Times New Roman" w:hAnsi="Times New Roman" w:eastAsia="PMingLiUfalt" w:hint="eastAsia"/>
          <w:spacing w:val="23"/>
          <w:sz w:val="32"/>
          <w:szCs w:val="32"/>
        </w:rPr>
        <w:t>作专业近</w:t>
      </w:r>
      <w:r>
        <w:rPr>
          <w:rFonts w:ascii="Times New Roman" w:hAnsi="Times New Roman" w:eastAsia="PMingLiUfalt"/>
          <w:spacing w:val="23"/>
          <w:sz w:val="32"/>
          <w:szCs w:val="32"/>
        </w:rPr>
        <w:t>100</w:t>
      </w:r>
      <w:r>
        <w:rPr>
          <w:rFonts w:ascii="Times New Roman" w:hAnsi="Times New Roman" w:eastAsia="PMingLiUfalt" w:hint="eastAsia"/>
          <w:spacing w:val="23"/>
          <w:sz w:val="32"/>
          <w:szCs w:val="32"/>
        </w:rPr>
        <w:t>门，提供学士和硕士学位课程，</w:t>
      </w:r>
      <w:r>
        <w:rPr>
          <w:rFonts w:ascii="Times New Roman" w:hAnsi="Times New Roman" w:eastAsia="PMingLiUfalt" w:hint="eastAsia"/>
          <w:color w:val="3366ff"/>
          <w:spacing w:val="23"/>
          <w:sz w:val="32"/>
          <w:szCs w:val="32"/>
        </w:rPr>
        <w:t>专业涵盖</w:t>
      </w:r>
      <w:r>
        <w:rPr>
          <w:rFonts w:ascii="Times New Roman" w:hAnsi="Times New Roman" w:eastAsia="宋体" w:hint="eastAsia"/>
          <w:color w:val="3366ff"/>
          <w:spacing w:val="23"/>
          <w:sz w:val="32"/>
          <w:szCs w:val="32"/>
        </w:rPr>
        <w:t>：预科（人文／科学／商业信息技术），</w:t>
      </w:r>
      <w:r>
        <w:rPr>
          <w:rFonts w:ascii="Times New Roman" w:hAnsi="Times New Roman" w:eastAsia="PMingLiUfalt" w:hint="eastAsia"/>
          <w:color w:val="3366ff"/>
          <w:spacing w:val="23"/>
          <w:sz w:val="32"/>
          <w:szCs w:val="32"/>
        </w:rPr>
        <w:t>商科</w:t>
      </w:r>
      <w:r>
        <w:rPr>
          <w:rFonts w:ascii="Times New Roman" w:hAnsi="Times New Roman" w:eastAsia="宋体" w:hint="eastAsia"/>
          <w:color w:val="3366ff"/>
          <w:spacing w:val="23"/>
          <w:sz w:val="32"/>
          <w:szCs w:val="32"/>
        </w:rPr>
        <w:t>（会计／商业管理／国际商务／金融／营销／人力资源管理）</w:t>
      </w:r>
      <w:r>
        <w:rPr>
          <w:rFonts w:ascii="Times New Roman" w:hAnsi="Times New Roman" w:eastAsia="PMingLiUfalt" w:hint="eastAsia"/>
          <w:color w:val="3366ff"/>
          <w:spacing w:val="23"/>
          <w:sz w:val="32"/>
          <w:szCs w:val="32"/>
        </w:rPr>
        <w:t>计算机</w:t>
      </w:r>
      <w:r>
        <w:rPr>
          <w:rFonts w:ascii="Times New Roman" w:hAnsi="Times New Roman" w:eastAsia="宋体" w:hint="eastAsia"/>
          <w:color w:val="3366ff"/>
          <w:spacing w:val="23"/>
          <w:sz w:val="32"/>
          <w:szCs w:val="32"/>
        </w:rPr>
        <w:t>，</w:t>
      </w:r>
      <w:r>
        <w:rPr>
          <w:rFonts w:ascii="Times New Roman" w:hAnsi="Times New Roman" w:eastAsia="PMingLiUfalt" w:hint="eastAsia"/>
          <w:color w:val="3366ff"/>
          <w:spacing w:val="23"/>
          <w:sz w:val="32"/>
          <w:szCs w:val="32"/>
        </w:rPr>
        <w:t>工程</w:t>
      </w:r>
      <w:r>
        <w:rPr>
          <w:rFonts w:ascii="Times New Roman" w:hAnsi="Times New Roman" w:eastAsia="宋体"/>
          <w:color w:val="3366ff"/>
          <w:spacing w:val="23"/>
          <w:sz w:val="32"/>
          <w:szCs w:val="32"/>
        </w:rPr>
        <w:t>(</w:t>
      </w:r>
      <w:r>
        <w:rPr>
          <w:rFonts w:ascii="Times New Roman" w:hAnsi="Times New Roman" w:eastAsia="宋体" w:hint="eastAsia"/>
          <w:color w:val="3366ff"/>
          <w:spacing w:val="23"/>
          <w:sz w:val="32"/>
          <w:szCs w:val="32"/>
        </w:rPr>
        <w:t>土木／机械／建筑</w:t>
      </w:r>
      <w:r>
        <w:rPr>
          <w:rFonts w:ascii="Times New Roman" w:hAnsi="Times New Roman" w:eastAsia="宋体"/>
          <w:color w:val="3366ff"/>
          <w:spacing w:val="23"/>
          <w:sz w:val="32"/>
          <w:szCs w:val="32"/>
        </w:rPr>
        <w:t>)</w:t>
      </w:r>
      <w:r>
        <w:rPr>
          <w:rFonts w:ascii="Times New Roman" w:hAnsi="Times New Roman" w:eastAsia="宋体" w:hint="eastAsia"/>
          <w:color w:val="3366ff"/>
          <w:spacing w:val="23"/>
          <w:sz w:val="32"/>
          <w:szCs w:val="32"/>
        </w:rPr>
        <w:t>，</w:t>
      </w:r>
      <w:r>
        <w:rPr>
          <w:rFonts w:ascii="Times New Roman" w:hAnsi="Times New Roman" w:eastAsia="PMingLiUfalt" w:hint="eastAsia"/>
          <w:color w:val="3366ff"/>
          <w:spacing w:val="23"/>
          <w:sz w:val="32"/>
          <w:szCs w:val="32"/>
        </w:rPr>
        <w:t>医学与保健</w:t>
      </w:r>
      <w:r>
        <w:rPr>
          <w:rFonts w:ascii="Times New Roman" w:hAnsi="Times New Roman" w:eastAsia="宋体" w:hint="eastAsia"/>
          <w:color w:val="3366ff"/>
          <w:spacing w:val="23"/>
          <w:sz w:val="32"/>
          <w:szCs w:val="32"/>
        </w:rPr>
        <w:t>（中医／理疗），</w:t>
      </w:r>
      <w:r>
        <w:rPr>
          <w:rFonts w:ascii="Times New Roman" w:hAnsi="Times New Roman" w:eastAsia="PMingLiUfalt" w:hint="eastAsia"/>
          <w:color w:val="3366ff"/>
          <w:spacing w:val="23"/>
          <w:sz w:val="32"/>
          <w:szCs w:val="32"/>
        </w:rPr>
        <w:t>设计</w:t>
      </w:r>
      <w:r>
        <w:rPr>
          <w:rFonts w:ascii="Times New Roman" w:hAnsi="Times New Roman" w:eastAsia="宋体" w:hint="eastAsia"/>
          <w:color w:val="3366ff"/>
          <w:spacing w:val="23"/>
          <w:sz w:val="32"/>
          <w:szCs w:val="32"/>
        </w:rPr>
        <w:t>，</w:t>
      </w:r>
      <w:r>
        <w:rPr>
          <w:rFonts w:ascii="Times New Roman" w:hAnsi="Times New Roman" w:eastAsia="PMingLiUfalt" w:hint="eastAsia"/>
          <w:color w:val="3366ff"/>
          <w:spacing w:val="23"/>
          <w:sz w:val="32"/>
          <w:szCs w:val="32"/>
        </w:rPr>
        <w:t>酒店管理和大众传媒等领域。</w:t>
      </w:r>
      <w:r>
        <w:rPr>
          <w:rFonts w:ascii="Times New Roman" w:hAnsi="Times New Roman" w:eastAsia="PMingLiUfalt" w:hint="eastAsia"/>
          <w:color w:val="3366ff"/>
          <w:spacing w:val="23"/>
          <w:sz w:val="32"/>
          <w:szCs w:val="32"/>
        </w:rPr>
      </w:r>
    </w:p>
    <w:p>
      <w:pPr>
        <w:ind w:firstLine="640"/>
        <w:spacing/>
        <w:jc w:val="left"/>
        <w:rPr>
          <w:rFonts w:ascii="Times New Roman" w:hAnsi="Times New Roman" w:hint="eastAsia"/>
          <w:sz w:val="32"/>
          <w:szCs w:val="32"/>
        </w:rPr>
      </w:pPr>
      <w:r>
        <w:rPr>
          <w:rFonts w:ascii="Times New Roman" w:hAnsi="Times New Roman" w:eastAsia="PMingLiUfalt" w:hint="eastAsia"/>
          <w:spacing w:val="23"/>
          <w:sz w:val="32"/>
          <w:szCs w:val="32"/>
        </w:rPr>
        <w:t>此外英迪与澳大利亚卧龙岗大学、澳大利亚蓝山国际酒店管理学院、澳大利亚托伦斯大学、英国谢菲尔德哈勒姆大学、英国赫特福德大学、英国考文垂大学</w:t>
      </w:r>
      <w:r>
        <w:rPr>
          <w:rFonts w:ascii="Times New Roman" w:hAnsi="Times New Roman" w:hint="eastAsia"/>
          <w:sz w:val="32"/>
          <w:szCs w:val="32"/>
        </w:rPr>
        <w:t>、</w:t>
      </w:r>
      <w:r>
        <w:rPr>
          <w:rFonts w:ascii="Times New Roman" w:hAnsi="Times New Roman" w:eastAsia="PMingLiUfalt" w:hint="eastAsia"/>
          <w:spacing w:val="23"/>
          <w:sz w:val="32"/>
          <w:szCs w:val="32"/>
        </w:rPr>
        <w:t>美国南新罕布什尔大学和新西兰奧克兰媒体艺术学校联合开设海外课程，学生在英迪毕业后可以获得合作大学的本科或硕士学位</w:t>
      </w:r>
      <w:r>
        <w:rPr>
          <w:rFonts w:ascii="PMingLiUfalt" w:hAnsi="PMingLiUfalt" w:eastAsia="宋体" w:hint="eastAsia"/>
          <w:spacing w:val="53"/>
          <w:sz w:val="32"/>
          <w:szCs w:val="32"/>
        </w:rPr>
        <w:t>。</w:t>
      </w:r>
      <w:r>
        <w:rPr>
          <w:rFonts w:ascii="Times New Roman" w:hAnsi="Times New Roman" w:eastAsia="PMingLiUfalt" w:hint="eastAsia"/>
          <w:spacing w:val="23"/>
          <w:sz w:val="32"/>
          <w:szCs w:val="32"/>
        </w:rPr>
        <w:t>英迪培育英才超过</w:t>
      </w:r>
      <w:r>
        <w:rPr>
          <w:rFonts w:ascii="Times New Roman" w:hAnsi="Times New Roman" w:eastAsia="PMingLiUfalt"/>
          <w:spacing w:val="23"/>
          <w:sz w:val="32"/>
          <w:szCs w:val="32"/>
        </w:rPr>
        <w:t>30</w:t>
      </w:r>
      <w:r>
        <w:rPr>
          <w:rFonts w:ascii="Times New Roman" w:hAnsi="Times New Roman" w:eastAsia="PMingLiUfalt" w:hint="eastAsia"/>
          <w:spacing w:val="23"/>
          <w:sz w:val="32"/>
          <w:szCs w:val="32"/>
        </w:rPr>
        <w:t>年</w:t>
      </w:r>
      <w:r>
        <w:rPr>
          <w:rFonts w:ascii="Times New Roman" w:hAnsi="Times New Roman" w:eastAsia="PMingLiUfalt"/>
          <w:spacing w:val="23"/>
          <w:sz w:val="32"/>
          <w:szCs w:val="32"/>
        </w:rPr>
        <w:t>.</w:t>
      </w:r>
      <w:r>
        <w:rPr>
          <w:rFonts w:ascii="Times New Roman" w:hAnsi="Times New Roman" w:eastAsia="PMingLiUfalt" w:hint="eastAsia"/>
          <w:spacing w:val="23"/>
          <w:sz w:val="32"/>
          <w:szCs w:val="32"/>
        </w:rPr>
        <w:t>造就了超过</w:t>
      </w:r>
      <w:r>
        <w:rPr>
          <w:rFonts w:ascii="Times New Roman" w:hAnsi="Times New Roman" w:eastAsia="PMingLiUfalt"/>
          <w:spacing w:val="23"/>
          <w:sz w:val="32"/>
          <w:szCs w:val="32"/>
        </w:rPr>
        <w:t>65,000</w:t>
      </w:r>
      <w:r>
        <w:rPr>
          <w:rFonts w:ascii="Times New Roman" w:hAnsi="Times New Roman" w:eastAsia="PMingLiUfalt" w:hint="eastAsia"/>
          <w:spacing w:val="23"/>
          <w:sz w:val="32"/>
          <w:szCs w:val="32"/>
        </w:rPr>
        <w:t>名出类拔萃的毕业生，是马来西亚最受尊敬和最值得信赖的私立高等教育机构之一</w:t>
      </w:r>
      <w:r>
        <w:rPr>
          <w:rFonts w:ascii="Times New Roman" w:hAnsi="Times New Roman" w:eastAsia="宋体" w:hint="eastAsia"/>
          <w:spacing w:val="23"/>
          <w:sz w:val="32"/>
          <w:szCs w:val="32"/>
        </w:rPr>
        <w:t>。</w:t>
      </w:r>
      <w:r>
        <w:rPr>
          <w:rFonts w:ascii="Times New Roman" w:hAnsi="Times New Roman" w:eastAsia="PMingLiUfalt" w:hint="eastAsia"/>
          <w:spacing w:val="23"/>
          <w:sz w:val="32"/>
          <w:szCs w:val="32"/>
        </w:rPr>
        <w:t>英迪与国际认可的合作大学和</w:t>
      </w:r>
      <w:r>
        <w:rPr>
          <w:rFonts w:ascii="Times New Roman" w:hAnsi="Times New Roman" w:eastAsia="PMingLiUfalt"/>
          <w:spacing w:val="23"/>
          <w:sz w:val="32"/>
          <w:szCs w:val="32"/>
        </w:rPr>
        <w:t>450</w:t>
      </w:r>
      <w:r>
        <w:rPr>
          <w:rFonts w:ascii="Times New Roman" w:hAnsi="Times New Roman" w:eastAsia="PMingLiUfalt" w:hint="eastAsia"/>
          <w:spacing w:val="23"/>
          <w:sz w:val="32"/>
          <w:szCs w:val="32"/>
        </w:rPr>
        <w:t>多家</w:t>
      </w:r>
      <w:r>
        <w:rPr>
          <w:rFonts w:ascii="Times New Roman" w:hAnsi="Times New Roman" w:eastAsia="PMingLiUfalt" w:hint="eastAsia"/>
          <w:spacing w:val="23"/>
          <w:sz w:val="32"/>
          <w:szCs w:val="32"/>
        </w:rPr>
        <w:t>跨国和全球行业合作伙伴紧密合作</w:t>
      </w:r>
      <w:r>
        <w:rPr>
          <w:rFonts w:ascii="Times New Roman" w:hAnsi="Times New Roman" w:eastAsia="PMingLiUfalt"/>
          <w:spacing w:val="23"/>
          <w:sz w:val="32"/>
          <w:szCs w:val="32"/>
        </w:rPr>
        <w:t>.</w:t>
      </w:r>
      <w:r>
        <w:rPr>
          <w:rFonts w:ascii="Times New Roman" w:hAnsi="Times New Roman" w:hint="eastAsia"/>
          <w:sz w:val="32"/>
          <w:szCs w:val="32"/>
        </w:rPr>
        <w:t>意</w:t>
      </w:r>
      <w:r>
        <w:rPr>
          <w:rFonts w:ascii="Times New Roman" w:hAnsi="Times New Roman" w:eastAsia="PMingLiUfalt" w:hint="eastAsia"/>
          <w:spacing w:val="23"/>
          <w:sz w:val="32"/>
          <w:szCs w:val="32"/>
        </w:rPr>
        <w:t>味着超越学术课程。此外，英迪还提供市场趋势、实践经验、混合教学方法、国际课程和在线工具，让学生做好准备</w:t>
      </w:r>
      <w:r>
        <w:rPr>
          <w:rFonts w:ascii="Times New Roman" w:hAnsi="Times New Roman" w:eastAsia="PMingLiUfalt"/>
          <w:spacing w:val="23"/>
          <w:sz w:val="32"/>
          <w:szCs w:val="32"/>
        </w:rPr>
        <w:t xml:space="preserve"> </w:t>
      </w:r>
      <w:r>
        <w:rPr>
          <w:rFonts w:ascii="Times New Roman" w:hAnsi="Times New Roman" w:eastAsia="PMingLiUfalt" w:hint="eastAsia"/>
          <w:spacing w:val="23"/>
          <w:sz w:val="32"/>
          <w:szCs w:val="32"/>
        </w:rPr>
        <w:t>迎接</w:t>
      </w:r>
      <w:r>
        <w:rPr>
          <w:rFonts w:ascii="Times New Roman" w:hAnsi="Times New Roman" w:eastAsia="PMingLiUfalt"/>
          <w:spacing w:val="23"/>
          <w:sz w:val="32"/>
          <w:szCs w:val="32"/>
        </w:rPr>
        <w:t>21</w:t>
      </w:r>
      <w:r>
        <w:rPr>
          <w:rFonts w:ascii="Times New Roman" w:hAnsi="Times New Roman" w:eastAsia="PMingLiUfalt" w:hint="eastAsia"/>
          <w:spacing w:val="23"/>
          <w:sz w:val="32"/>
          <w:szCs w:val="32"/>
        </w:rPr>
        <w:t>世纪的职场需求。在强调以就业为导向的教育理念引导下，英迪不仅有系统地推出和更新各类市场霜求的专业课程</w:t>
      </w:r>
      <w:r>
        <w:rPr>
          <w:rFonts w:ascii="Times New Roman" w:hAnsi="Times New Roman" w:eastAsia="PMingLiUfalt"/>
          <w:spacing w:val="23"/>
          <w:sz w:val="32"/>
          <w:szCs w:val="32"/>
        </w:rPr>
        <w:t>.</w:t>
      </w:r>
      <w:r>
        <w:rPr>
          <w:rFonts w:ascii="Times New Roman" w:hAnsi="Times New Roman" w:eastAsia="PMingLiUfalt" w:hint="eastAsia"/>
          <w:spacing w:val="23"/>
          <w:sz w:val="32"/>
          <w:szCs w:val="32"/>
        </w:rPr>
        <w:t>更致力与</w:t>
      </w:r>
      <w:r>
        <w:rPr>
          <w:rFonts w:ascii="Times New Roman" w:hAnsi="Times New Roman" w:eastAsia="PMingLiUfalt"/>
          <w:spacing w:val="23"/>
          <w:sz w:val="32"/>
          <w:szCs w:val="32"/>
        </w:rPr>
        <w:t xml:space="preserve"> </w:t>
      </w:r>
      <w:r>
        <w:rPr>
          <w:rFonts w:ascii="Times New Roman" w:hAnsi="Times New Roman" w:eastAsia="PMingLiUfalt" w:hint="eastAsia"/>
          <w:spacing w:val="23"/>
          <w:sz w:val="32"/>
          <w:szCs w:val="32"/>
        </w:rPr>
        <w:t>业界保持密切的合作关系。旨在确保学生能够获得现实世界的知识和经验</w:t>
      </w:r>
      <w:r>
        <w:rPr>
          <w:rFonts w:ascii="Times New Roman" w:hAnsi="Times New Roman" w:eastAsia="PMingLiUfalt"/>
          <w:spacing w:val="23"/>
          <w:sz w:val="32"/>
          <w:szCs w:val="32"/>
        </w:rPr>
        <w:t>.</w:t>
      </w:r>
      <w:r>
        <w:rPr>
          <w:rFonts w:ascii="Times New Roman" w:hAnsi="Times New Roman" w:eastAsia="PMingLiUfalt" w:hint="eastAsia"/>
          <w:spacing w:val="23"/>
          <w:sz w:val="32"/>
          <w:szCs w:val="32"/>
        </w:rPr>
        <w:t>并磨练他们的软技能，从而助他们顺利求职，成功就业</w:t>
      </w:r>
      <w:r>
        <w:rPr>
          <w:rFonts w:ascii="PMingLiUfalt" w:hAnsi="PMingLiUfalt" w:eastAsia="宋体" w:hint="eastAsia"/>
          <w:spacing w:val="53"/>
          <w:sz w:val="32"/>
          <w:szCs w:val="32"/>
        </w:rPr>
        <w:t>。</w:t>
      </w:r>
      <w:r>
        <w:rPr>
          <w:rFonts w:ascii="Times New Roman" w:hAnsi="Times New Roman" w:eastAsia="PMingLiUfalt" w:hint="eastAsia"/>
          <w:spacing w:val="23"/>
          <w:sz w:val="32"/>
          <w:szCs w:val="32"/>
        </w:rPr>
        <w:t>通过国际视野</w:t>
      </w:r>
      <w:r>
        <w:rPr>
          <w:rFonts w:ascii="Times New Roman" w:hAnsi="Times New Roman" w:eastAsia="PMingLiUfalt"/>
          <w:spacing w:val="23"/>
          <w:sz w:val="32"/>
          <w:szCs w:val="32"/>
        </w:rPr>
        <w:t>.</w:t>
      </w:r>
      <w:r>
        <w:rPr>
          <w:rFonts w:ascii="Times New Roman" w:hAnsi="Times New Roman" w:eastAsia="PMingLiUfalt" w:hint="eastAsia"/>
          <w:spacing w:val="23"/>
          <w:sz w:val="32"/>
          <w:szCs w:val="32"/>
        </w:rPr>
        <w:t>创新学习和个人发展三管齐下，英迪培养学生掌握必要的技能，包括批判性思维</w:t>
      </w:r>
      <w:r>
        <w:rPr>
          <w:rFonts w:ascii="Times New Roman" w:hAnsi="Times New Roman" w:eastAsia="PMingLiUfalt"/>
          <w:spacing w:val="23"/>
          <w:sz w:val="32"/>
          <w:szCs w:val="32"/>
        </w:rPr>
        <w:t>.</w:t>
      </w:r>
      <w:r>
        <w:rPr>
          <w:rFonts w:ascii="Times New Roman" w:hAnsi="Times New Roman" w:eastAsia="PMingLiUfalt" w:hint="eastAsia"/>
          <w:spacing w:val="23"/>
          <w:sz w:val="32"/>
          <w:szCs w:val="32"/>
        </w:rPr>
        <w:t>解决问题的能力、协作和有效沟通。此外，英迪也为学生提供最尖端以及最实用的课堂知识、技能和能力</w:t>
      </w:r>
      <w:r>
        <w:rPr>
          <w:rFonts w:ascii="Times New Roman" w:hAnsi="Times New Roman" w:eastAsia="PMingLiUfalt"/>
          <w:spacing w:val="23"/>
          <w:sz w:val="32"/>
          <w:szCs w:val="32"/>
        </w:rPr>
        <w:t>.</w:t>
      </w:r>
      <w:r>
        <w:rPr>
          <w:rFonts w:ascii="Times New Roman" w:hAnsi="Times New Roman" w:eastAsia="PMingLiUfalt" w:hint="eastAsia"/>
          <w:spacing w:val="23"/>
          <w:sz w:val="32"/>
          <w:szCs w:val="32"/>
        </w:rPr>
        <w:t>培育学生</w:t>
      </w:r>
      <w:r>
        <w:rPr>
          <w:rFonts w:ascii="Times New Roman" w:hAnsi="Times New Roman" w:eastAsia="PMingLiUfalt"/>
          <w:spacing w:val="23"/>
          <w:sz w:val="32"/>
          <w:szCs w:val="32"/>
        </w:rPr>
        <w:t xml:space="preserve"> </w:t>
      </w:r>
      <w:r>
        <w:rPr>
          <w:rFonts w:ascii="Times New Roman" w:hAnsi="Times New Roman" w:eastAsia="PMingLiUfalt" w:hint="eastAsia"/>
          <w:spacing w:val="23"/>
          <w:sz w:val="32"/>
          <w:szCs w:val="32"/>
        </w:rPr>
        <w:t>成为自我导向、积极和独立的学习者</w:t>
      </w:r>
      <w:r>
        <w:rPr>
          <w:rFonts w:ascii="Times New Roman" w:hAnsi="Times New Roman" w:eastAsia="PMingLiUfalt"/>
          <w:spacing w:val="23"/>
          <w:sz w:val="32"/>
          <w:szCs w:val="32"/>
        </w:rPr>
        <w:t>.</w:t>
      </w:r>
      <w:r>
        <w:rPr>
          <w:rFonts w:ascii="Times New Roman" w:hAnsi="Times New Roman" w:eastAsia="PMingLiUfalt" w:hint="eastAsia"/>
          <w:spacing w:val="23"/>
          <w:sz w:val="32"/>
          <w:szCs w:val="32"/>
        </w:rPr>
        <w:t>使他们能够在同辈中遥遥领先、卓越出众。英迪鼓励学生充分展示个人才华，体现出类拔萃的特质，包括拥有全球视野</w:t>
      </w:r>
      <w:r>
        <w:rPr>
          <w:rFonts w:ascii="Times New Roman" w:hAnsi="Times New Roman" w:eastAsia="PMingLiUfalt"/>
          <w:spacing w:val="23"/>
          <w:sz w:val="32"/>
          <w:szCs w:val="32"/>
        </w:rPr>
        <w:t>.</w:t>
      </w:r>
      <w:r>
        <w:rPr>
          <w:rFonts w:ascii="Times New Roman" w:hAnsi="Times New Roman" w:eastAsia="PMingLiUfalt" w:hint="eastAsia"/>
          <w:spacing w:val="23"/>
          <w:sz w:val="32"/>
          <w:szCs w:val="32"/>
        </w:rPr>
        <w:t>获得</w:t>
      </w:r>
      <w:r>
        <w:rPr>
          <w:rFonts w:ascii="Times New Roman" w:hAnsi="Times New Roman" w:hint="eastAsia"/>
          <w:spacing w:val="23"/>
          <w:sz w:val="32"/>
          <w:szCs w:val="32"/>
        </w:rPr>
        <w:t>创造</w:t>
      </w:r>
      <w:r>
        <w:rPr>
          <w:rFonts w:ascii="Times New Roman" w:hAnsi="Times New Roman" w:hint="eastAsia"/>
          <w:sz w:val="32"/>
          <w:szCs w:val="32"/>
        </w:rPr>
        <w:t>思维并且具备职业技</w:t>
      </w:r>
      <w:r>
        <w:rPr>
          <w:rFonts w:ascii="Times New Roman" w:hAnsi="Times New Roman" w:eastAsia="PMingLiUfalt"/>
          <w:spacing w:val="23"/>
          <w:sz w:val="32"/>
          <w:szCs w:val="32"/>
        </w:rPr>
        <w:t xml:space="preserve"> </w:t>
      </w:r>
      <w:r>
        <w:rPr>
          <w:rFonts w:ascii="Times New Roman" w:hAnsi="Times New Roman" w:eastAsia="PMingLiUfalt" w:hint="eastAsia"/>
          <w:spacing w:val="23"/>
          <w:sz w:val="32"/>
          <w:szCs w:val="32"/>
        </w:rPr>
        <w:t>能，而这亦是英迪的毕业生引以为荣的三大基本品质</w:t>
      </w:r>
      <w:r>
        <w:rPr>
          <w:rFonts w:eastAsia="宋体" w:hint="eastAsia"/>
          <w:spacing w:val="23"/>
          <w:sz w:val="32"/>
          <w:szCs w:val="32"/>
        </w:rPr>
        <w:t>这无论对于提高受雇能力，还是有志于在全球激烈竞争环境中创业而言，都将是一份最为珍贵的财富</w:t>
      </w:r>
      <w:r>
        <w:rPr>
          <w:rFonts w:ascii="Times New Roman" w:hAnsi="Times New Roman"/>
          <w:sz w:val="32"/>
          <w:szCs w:val="32"/>
        </w:rPr>
        <w:t xml:space="preserve"> </w:t>
      </w:r>
      <w:r>
        <w:rPr>
          <w:rFonts w:ascii="Times New Roman" w:hAnsi="Times New Roman" w:hint="eastAsia"/>
          <w:sz w:val="32"/>
          <w:szCs w:val="32"/>
        </w:rPr>
        <w:t>。</w:t>
      </w:r>
      <w:r>
        <w:rPr>
          <w:rFonts w:ascii="Times New Roman" w:hAnsi="Times New Roman" w:hint="eastAsia"/>
          <w:sz w:val="32"/>
          <w:szCs w:val="32"/>
        </w:rPr>
      </w:r>
    </w:p>
    <w:p>
      <w:pPr>
        <w:ind w:firstLine="640"/>
        <w:spacing/>
        <w:jc w:val="left"/>
        <w:rPr>
          <w:rFonts w:ascii="Times New Roman" w:hAnsi="Times New Roman" w:hint="eastAsia"/>
        </w:rPr>
      </w:pPr>
      <w:r>
        <w:rPr>
          <w:rFonts w:ascii="Times New Roman" w:hAnsi="Times New Roman" w:hint="eastAsia"/>
        </w:rPr>
      </w:r>
    </w:p>
    <w:p>
      <w:pPr>
        <w:spacing/>
        <w:jc w:val="left"/>
        <w:rPr>
          <w:rFonts w:eastAsia="宋体" w:hint="eastAsia"/>
          <w:b/>
          <w:bCs/>
          <w:color w:val="ff0000"/>
          <w:spacing w:val="30"/>
          <w:sz w:val="36"/>
          <w:szCs w:val="36"/>
        </w:rPr>
      </w:pPr>
      <w:r>
        <w:rPr>
          <w:noProof w:val="1"/>
        </w:rPr>
      </w:r>
      <w:r>
        <w:rPr>
          <w:noProof/>
        </w:rPr>
        <w:drawing>
          <wp:inline distT="0" distB="0" distL="114935" distR="114935">
            <wp:extent cx="5275580" cy="1286510"/>
            <wp:effectExtent l="0" t="0" r="0" b="0"/>
            <wp:docPr id="2" name="图片模式6"/>
            <wp:cNvGraphicFramePr/>
            <a:graphic xmlns:a="http://schemas.openxmlformats.org/drawingml/2006/main">
              <a:graphicData uri="http://schemas.openxmlformats.org/drawingml/2006/picture">
                <pic:pic xmlns:pic="http://schemas.openxmlformats.org/drawingml/2006/picture">
                  <pic:nvPicPr>
                    <pic:cNvPr id="2" name="图片模式6"/>
                    <pic:cNvPicPr>
                      <a:extLst>
                        <a:ext uri="smNativeData">
                          <sm:smNativeData xmlns:sm="smo" val="SMDATA_12_UPGhW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XAAAAFAAAAHQgAADqBwAAdCAAAOoHAAAAAgAACQAAAAQAAAAAAAAADAAAABAAAAAAAAAAAAAAAAAAAAAAAAAAHgAAAGgAAAAAAAAAAAAAAAAAAAAAAAAAAAAAABAnAAAQJwAAAAAAAAAAAAAAAAAAAAAAAAAAAAAAAAAAAAAAAAAAAAAUAAAAAAAAAMDA/wAAAAAAZAAAADIAAAAAAAAAZAAAAAAAAAB/f38ACgAAACEAAABAAAAAPAAAAAIAAABAggAAAAAAAAAAAAAAAAAAAAAAALAaAAAAAAAAAAAAACIIAAB0IAAA6gcAAAIAAAAODgAAIggAAA=="/>
                        </a:ext>
                      </a:extLst>
                    </pic:cNvPicPr>
                  </pic:nvPicPr>
                  <pic:blipFill>
                    <a:blip r:embed="rId8"/>
                    <a:stretch>
                      <a:fillRect/>
                    </a:stretch>
                  </pic:blipFill>
                  <pic:spPr>
                    <a:xfrm>
                      <a:off x="0" y="0"/>
                      <a:ext cx="5275580" cy="1286510"/>
                    </a:xfrm>
                    <a:prstGeom prst="rect">
                      <a:avLst/>
                    </a:prstGeom>
                    <a:noFill/>
                    <a:ln w="12700">
                      <a:noFill/>
                    </a:ln>
                  </pic:spPr>
                </pic:pic>
              </a:graphicData>
            </a:graphic>
          </wp:inline>
        </w:drawing>
      </w:r>
      <w:r>
        <w:rPr>
          <w:noProof w:val="1"/>
        </w:rPr>
      </w:r>
      <w:r>
        <w:rPr>
          <w:rFonts w:eastAsia="宋体" w:hint="eastAsia"/>
          <w:b/>
          <w:bCs/>
          <w:color w:val="ff0000"/>
          <w:spacing w:val="30"/>
          <w:sz w:val="36"/>
          <w:szCs w:val="36"/>
        </w:rPr>
      </w:r>
      <w:r>
        <w:rPr>
          <w:noProof/>
        </w:rPr>
        <w:drawing>
          <wp:inline distT="0" distB="0" distL="114300" distR="114300">
            <wp:extent cx="5290185" cy="1089660"/>
            <wp:effectExtent l="0" t="0" r="0" b="0"/>
            <wp:docPr id="3" name="图片模式6"/>
            <wp:cNvGraphicFramePr/>
            <a:graphic xmlns:a="http://schemas.openxmlformats.org/drawingml/2006/main">
              <a:graphicData uri="http://schemas.openxmlformats.org/drawingml/2006/picture">
                <pic:pic xmlns:pic="http://schemas.openxmlformats.org/drawingml/2006/picture">
                  <pic:nvPicPr>
                    <pic:cNvPr id="3" name="图片模式6"/>
                    <pic:cNvPicPr>
                      <a:extLst>
                        <a:ext uri="smNativeData">
                          <sm:smNativeData xmlns:sm="smo" val="SMDATA_12_UPGhWxMAAAAlAAAAEQ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XAAAAFAAAAIsgAAC0BgAAiyAAALQGAAAAAAAACQAAAAQAAAAAAAAADAAAABAAAAAAAAAAAAAAAAAAAAAAAAAAHgAAAGgAAAAAAAAAAAAAAAAAAAAAAAAAAAAAABAnAAAQJwAAAAAAAAAAAAAAAAAAAAAAAAAAAAAAAAAAAAAAAAAAAAAUAAAAAAAAAMDA/wAAAAAAZAAAADIAAAAAAAAAZAAAAAAAAAB/f38ACgAAACEAAABAAAAAPAAAAAAAAAAAAAAAAAAAAAAAAAAAAAAAAAAAAAAAAAAAAAAAAAAAAAAAAACLIAAAtAYAAAAAAAAAAAAAAAAAAA=="/>
                        </a:ext>
                      </a:extLst>
                    </pic:cNvPicPr>
                  </pic:nvPicPr>
                  <pic:blipFill>
                    <a:blip r:embed="rId9"/>
                    <a:stretch>
                      <a:fillRect/>
                    </a:stretch>
                  </pic:blipFill>
                  <pic:spPr>
                    <a:xfrm>
                      <a:off x="0" y="0"/>
                      <a:ext cx="5290185" cy="1089660"/>
                    </a:xfrm>
                    <a:prstGeom prst="rect">
                      <a:avLst/>
                    </a:prstGeom>
                    <a:noFill/>
                    <a:ln w="12700">
                      <a:noFill/>
                    </a:ln>
                  </pic:spPr>
                </pic:pic>
              </a:graphicData>
            </a:graphic>
          </wp:inline>
        </w:drawing>
      </w:r>
      <w:r>
        <w:rPr>
          <w:rFonts w:eastAsia="宋体" w:hint="eastAsia"/>
          <w:b/>
          <w:bCs/>
          <w:color w:val="ff0000"/>
          <w:spacing w:val="30"/>
          <w:sz w:val="36"/>
          <w:szCs w:val="36"/>
        </w:rPr>
      </w:r>
    </w:p>
    <w:p>
      <w:pPr>
        <w:spacing/>
        <w:jc w:val="left"/>
        <w:rPr>
          <w:rFonts w:eastAsia="宋体" w:hint="eastAsia"/>
          <w:b/>
          <w:bCs/>
          <w:color w:val="ff0000"/>
          <w:spacing w:val="30"/>
          <w:sz w:val="36"/>
          <w:szCs w:val="36"/>
        </w:rPr>
      </w:pPr>
      <w:r>
        <w:rPr>
          <w:rFonts w:eastAsia="宋体" w:hint="eastAsia"/>
          <w:b/>
          <w:bCs/>
          <w:color w:val="ff0000"/>
          <w:spacing w:val="30"/>
          <w:sz w:val="36"/>
          <w:szCs w:val="36"/>
        </w:rPr>
      </w:r>
    </w:p>
    <w:p>
      <w:pPr>
        <w:spacing/>
        <w:jc w:val="left"/>
        <w:rPr>
          <w:rFonts w:eastAsia="宋体" w:hint="eastAsia"/>
          <w:b/>
          <w:bCs/>
          <w:color w:val="ff0000"/>
          <w:spacing w:val="30"/>
          <w:sz w:val="36"/>
          <w:szCs w:val="36"/>
        </w:rPr>
      </w:pPr>
      <w:r>
        <w:rPr>
          <w:rFonts w:eastAsia="宋体" w:hint="eastAsia"/>
          <w:b/>
          <w:bCs/>
          <w:color w:val="ff0000"/>
          <w:spacing w:val="30"/>
          <w:sz w:val="36"/>
          <w:szCs w:val="36"/>
        </w:rPr>
      </w:r>
    </w:p>
    <w:p>
      <w:pPr>
        <w:spacing/>
        <w:jc w:val="left"/>
        <w:rPr>
          <w:rFonts w:eastAsia="宋体" w:hint="eastAsia"/>
          <w:b/>
          <w:bCs/>
          <w:color w:val="ff0000"/>
          <w:spacing w:val="30"/>
          <w:sz w:val="36"/>
          <w:szCs w:val="36"/>
        </w:rPr>
      </w:pPr>
      <w:r>
        <w:rPr>
          <w:rFonts w:eastAsia="宋体" w:hint="eastAsia"/>
          <w:b/>
          <w:bCs/>
          <w:color w:val="ff0000"/>
          <w:spacing w:val="30"/>
          <w:sz w:val="36"/>
          <w:szCs w:val="36"/>
        </w:rPr>
      </w:r>
    </w:p>
    <w:p>
      <w:pPr>
        <w:spacing/>
        <w:jc w:val="left"/>
        <w:rPr>
          <w:rFonts w:eastAsia="宋体" w:hint="eastAsia"/>
          <w:b/>
          <w:bCs/>
          <w:color w:val="ff0000"/>
          <w:spacing w:val="30"/>
          <w:sz w:val="36"/>
          <w:szCs w:val="36"/>
        </w:rPr>
      </w:pPr>
      <w:r>
        <w:rPr>
          <w:rFonts w:eastAsia="宋体" w:hint="eastAsia"/>
          <w:b/>
          <w:bCs/>
          <w:color w:val="ff0000"/>
          <w:spacing w:val="30"/>
          <w:sz w:val="36"/>
          <w:szCs w:val="36"/>
        </w:rPr>
      </w:r>
    </w:p>
    <w:p>
      <w:pPr>
        <w:spacing/>
        <w:jc w:val="left"/>
        <w:rPr>
          <w:rFonts w:eastAsia="宋体" w:hint="eastAsia"/>
          <w:b/>
          <w:bCs/>
          <w:color w:val="ff0000"/>
          <w:spacing w:val="30"/>
          <w:sz w:val="36"/>
          <w:szCs w:val="36"/>
        </w:rPr>
      </w:pPr>
      <w:r>
        <w:rPr>
          <w:rFonts w:eastAsia="宋体" w:hint="eastAsia"/>
          <w:b/>
          <w:bCs/>
          <w:color w:val="ff0000"/>
          <w:spacing w:val="30"/>
          <w:sz w:val="36"/>
          <w:szCs w:val="36"/>
        </w:rPr>
        <w:t>2018年英迪国际大学合作项目</w:t>
      </w:r>
    </w:p>
    <w:p>
      <w:pPr>
        <w:spacing/>
        <w:jc w:val="left"/>
        <w:rPr>
          <w:rFonts w:eastAsia="宋体" w:hint="eastAsia"/>
          <w:b/>
          <w:bCs/>
          <w:color w:val="ff0000"/>
          <w:spacing w:val="19"/>
        </w:rPr>
      </w:pPr>
      <w:r>
        <w:rPr>
          <w:rFonts w:eastAsia="宋体" w:hint="eastAsia"/>
          <w:b/>
          <w:bCs/>
          <w:color w:val="ff0000"/>
          <w:spacing w:val="19"/>
        </w:rPr>
      </w:r>
    </w:p>
    <w:p>
      <w:pPr>
        <w:spacing/>
        <w:jc w:val="left"/>
        <w:rPr>
          <w:rFonts w:eastAsia="宋体" w:hint="eastAsia"/>
          <w:b/>
          <w:bCs/>
          <w:color w:val="ff0000"/>
          <w:spacing w:val="21"/>
          <w:sz w:val="24"/>
        </w:rPr>
      </w:pPr>
      <w:r>
        <w:rPr>
          <w:rFonts w:eastAsia="宋体" w:hint="eastAsia"/>
          <w:b/>
          <w:bCs/>
          <w:color w:val="ff0000"/>
          <w:spacing w:val="19"/>
        </w:rPr>
        <w:t>1</w:t>
      </w:r>
      <w:r>
        <w:rPr>
          <w:rFonts w:eastAsia="宋体" w:hint="eastAsia"/>
          <w:b/>
          <w:bCs/>
          <w:color w:val="ff0000"/>
          <w:spacing w:val="21"/>
          <w:sz w:val="24"/>
        </w:rPr>
        <w:t>、一学期国际化交流学习与文化探索项目</w:t>
      </w:r>
      <w:r>
        <w:rPr>
          <w:rFonts w:eastAsia="宋体" w:hint="eastAsia"/>
          <w:b/>
          <w:bCs/>
          <w:color w:val="ff0000"/>
          <w:spacing w:val="21"/>
          <w:sz w:val="24"/>
        </w:rPr>
      </w:r>
    </w:p>
    <w:p>
      <w:pPr>
        <w:spacing/>
        <w:jc w:val="left"/>
        <w:rPr>
          <w:b/>
          <w:color w:val="333399"/>
          <w:sz w:val="24"/>
        </w:rPr>
      </w:pPr>
      <w:r>
        <w:rPr>
          <w:b/>
          <w:color w:val="333399"/>
          <w:sz w:val="24"/>
        </w:rPr>
      </w:r>
    </w:p>
    <w:p>
      <w:pPr>
        <w:spacing/>
        <w:jc w:val="left"/>
        <w:rPr>
          <w:b/>
          <w:color w:val="333399"/>
          <w:sz w:val="24"/>
        </w:rPr>
      </w:pPr>
      <w:r>
        <w:rPr>
          <w:sz w:val="24"/>
        </w:rPr>
        <w:t>马来西亚英迪国际大学一学期交流项目，旨在以培养复合性人才为基础全面提高英语水平，开阔学生的国际化视野，探索“一带一路”战略要国的多元文化，发展趋势和新机遇、帮助学生了解个人发展方向。</w:t>
      </w:r>
      <w:r>
        <w:rPr>
          <w:b/>
          <w:color w:val="7030a0"/>
          <w:sz w:val="24"/>
        </w:rPr>
        <w:t>与“一</w:t>
      </w:r>
      <w:r>
        <w:rPr>
          <w:color w:val="7030a0"/>
          <w:sz w:val="24"/>
        </w:rPr>
        <w:t>带</w:t>
      </w:r>
      <w:r>
        <w:rPr>
          <w:b/>
          <w:color w:val="7030a0"/>
          <w:sz w:val="24"/>
        </w:rPr>
        <w:t>一路”相</w:t>
      </w:r>
      <w:r>
        <w:rPr>
          <w:color w:val="7030a0"/>
          <w:sz w:val="24"/>
        </w:rPr>
        <w:t>结</w:t>
      </w:r>
      <w:r>
        <w:rPr>
          <w:b/>
          <w:color w:val="7030a0"/>
          <w:sz w:val="24"/>
        </w:rPr>
        <w:t>合，展望未来,培</w:t>
      </w:r>
      <w:r>
        <w:rPr>
          <w:color w:val="7030a0"/>
          <w:sz w:val="24"/>
        </w:rPr>
        <w:t>养复</w:t>
      </w:r>
      <w:r>
        <w:rPr>
          <w:b/>
          <w:color w:val="7030a0"/>
          <w:sz w:val="24"/>
        </w:rPr>
        <w:t>合型人才</w:t>
      </w:r>
      <w:r>
        <w:rPr>
          <w:sz w:val="24"/>
        </w:rPr>
        <w:t>.学生修完一学期课程后，英迪国际大学颁发结业证书和成绩单并附有课程大纲（含授课时数等内容）建议国内院校认证学分。</w:t>
      </w:r>
      <w:r>
        <w:rPr>
          <w:b/>
          <w:color w:val="333399"/>
          <w:sz w:val="24"/>
        </w:rPr>
        <w:t>配套：</w:t>
      </w:r>
      <w:r>
        <w:rPr>
          <w:color w:val="333399"/>
          <w:sz w:val="24"/>
        </w:rPr>
        <w:t>课</w:t>
      </w:r>
      <w:r>
        <w:rPr>
          <w:b/>
          <w:color w:val="333399"/>
          <w:sz w:val="24"/>
        </w:rPr>
        <w:t xml:space="preserve">程可根据院校需求自由搭配 </w:t>
      </w:r>
      <w:r>
        <w:rPr>
          <w:color w:val="ff0000"/>
          <w:sz w:val="24"/>
        </w:rPr>
        <w:t>选</w:t>
      </w:r>
      <w:r>
        <w:rPr>
          <w:b/>
          <w:color w:val="ff0000"/>
          <w:sz w:val="24"/>
        </w:rPr>
        <w:t>修</w:t>
      </w:r>
      <w:r>
        <w:rPr>
          <w:b/>
          <w:color w:val="333399"/>
          <w:sz w:val="24"/>
        </w:rPr>
        <w:t>或</w:t>
      </w:r>
      <w:r>
        <w:rPr>
          <w:b/>
          <w:color w:val="ff0000"/>
          <w:sz w:val="24"/>
        </w:rPr>
        <w:t>主修</w:t>
      </w:r>
      <w:r>
        <w:rPr>
          <w:color w:val="333399"/>
          <w:sz w:val="24"/>
        </w:rPr>
        <w:t>课</w:t>
      </w:r>
      <w:r>
        <w:rPr>
          <w:b/>
          <w:color w:val="333399"/>
          <w:sz w:val="24"/>
        </w:rPr>
        <w:t>程</w:t>
      </w:r>
      <w:r>
        <w:rPr>
          <w:b/>
          <w:color w:val="333399"/>
          <w:sz w:val="24"/>
        </w:rPr>
      </w:r>
    </w:p>
    <w:p>
      <w:pPr>
        <w:spacing/>
        <w:jc w:val="left"/>
        <w:rPr>
          <w:b/>
          <w:color w:val="333399"/>
          <w:sz w:val="24"/>
        </w:rPr>
      </w:pPr>
      <w:r>
        <w:rPr>
          <w:b/>
          <w:color w:val="333399"/>
          <w:sz w:val="24"/>
        </w:rPr>
      </w:r>
    </w:p>
    <w:p>
      <w:pPr>
        <w:spacing/>
        <w:jc w:val="left"/>
        <w:rPr>
          <w:rFonts w:eastAsia="宋体" w:hint="eastAsia"/>
          <w:b/>
          <w:bCs/>
          <w:color w:val="ff0000"/>
          <w:spacing w:val="21"/>
          <w:sz w:val="24"/>
        </w:rPr>
      </w:pPr>
      <w:r>
        <w:rPr>
          <w:rFonts w:eastAsia="宋体" w:hint="eastAsia"/>
          <w:b/>
          <w:bCs/>
          <w:color w:val="ff0000"/>
          <w:spacing w:val="21"/>
          <w:sz w:val="24"/>
        </w:rPr>
        <w:t>2、为中国教育部认可优质的英迪专升本或本科合作项目</w:t>
      </w:r>
    </w:p>
    <w:p>
      <w:pPr>
        <w:spacing/>
        <w:jc w:val="left"/>
        <w:rPr>
          <w:rFonts w:eastAsia="宋体" w:hint="eastAsia"/>
          <w:spacing w:val="23"/>
          <w:sz w:val="24"/>
        </w:rPr>
      </w:pPr>
      <w:r>
        <w:rPr>
          <w:rFonts w:eastAsia="宋体" w:hint="eastAsia"/>
          <w:spacing w:val="23"/>
          <w:sz w:val="24"/>
        </w:rPr>
        <w:t>方共同研发专升本合作项目，中方负责项目招生、前期培训及生源选拔工作，学生修得相应学分及通过语言考试后，英迪负责国外咨询、录取、签证办理及境外服务等工作，学生在英迪就读，毕业后获得英迪国际大学颁发的本科学位。</w:t>
      </w:r>
    </w:p>
    <w:p>
      <w:pPr>
        <w:spacing/>
        <w:jc w:val="left"/>
        <w:rPr>
          <w:rFonts w:eastAsia="宋体" w:hint="eastAsia"/>
          <w:b/>
          <w:bCs/>
          <w:color w:val="ff0000"/>
          <w:spacing w:val="21"/>
          <w:sz w:val="24"/>
        </w:rPr>
      </w:pPr>
      <w:r>
        <w:rPr>
          <w:rFonts w:eastAsia="宋体" w:hint="eastAsia"/>
          <w:b/>
          <w:bCs/>
          <w:color w:val="ff0000"/>
          <w:spacing w:val="21"/>
          <w:sz w:val="24"/>
        </w:rPr>
      </w:r>
    </w:p>
    <w:p>
      <w:pPr>
        <w:spacing/>
        <w:jc w:val="left"/>
        <w:rPr>
          <w:rFonts w:eastAsia="宋体" w:hint="eastAsia"/>
          <w:b/>
          <w:bCs/>
          <w:color w:val="ff0000"/>
          <w:spacing w:val="21"/>
          <w:sz w:val="24"/>
        </w:rPr>
      </w:pPr>
      <w:r>
        <w:rPr>
          <w:rFonts w:eastAsia="宋体" w:hint="eastAsia"/>
          <w:b/>
          <w:bCs/>
          <w:color w:val="ff0000"/>
          <w:spacing w:val="21"/>
          <w:sz w:val="24"/>
        </w:rPr>
        <w:t>3、为合作院校的教师</w:t>
      </w:r>
      <w:r>
        <w:rPr>
          <w:rFonts w:eastAsia="宋体"/>
          <w:b/>
          <w:bCs/>
          <w:color w:val="ff0000"/>
          <w:spacing w:val="21"/>
          <w:sz w:val="24"/>
        </w:rPr>
        <w:t>/</w:t>
      </w:r>
      <w:r>
        <w:rPr>
          <w:rFonts w:eastAsia="宋体" w:hint="eastAsia"/>
          <w:b/>
          <w:bCs/>
          <w:color w:val="ff0000"/>
          <w:spacing w:val="21"/>
          <w:sz w:val="24"/>
        </w:rPr>
        <w:t>员工设计的假期博士班课程</w:t>
      </w:r>
      <w:r>
        <w:rPr>
          <w:rFonts w:eastAsia="宋体" w:hint="eastAsia"/>
          <w:b/>
          <w:bCs/>
          <w:color w:val="ff0000"/>
          <w:spacing w:val="21"/>
          <w:sz w:val="24"/>
        </w:rPr>
      </w:r>
    </w:p>
    <w:p>
      <w:pPr>
        <w:spacing/>
        <w:jc w:val="left"/>
        <w:rPr>
          <w:rFonts w:ascii="Times New Roman" w:hAnsi="Times New Roman" w:hint="eastAsia"/>
          <w:sz w:val="24"/>
        </w:rPr>
      </w:pPr>
      <w:r>
        <w:rPr>
          <w:rFonts w:eastAsia="宋体" w:hint="eastAsia"/>
          <w:spacing w:val="23"/>
          <w:sz w:val="24"/>
        </w:rPr>
        <w:t>员在导师个人化辅导下研究，可在境外完成课题调研以及论文撰写等学习任务。学员必须在籍</w:t>
      </w:r>
      <w:r>
        <w:rPr>
          <w:rFonts w:ascii="Times New Roman" w:hAnsi="Times New Roman"/>
          <w:spacing w:val="23"/>
          <w:sz w:val="24"/>
        </w:rPr>
        <w:t>3</w:t>
      </w:r>
      <w:r>
        <w:rPr>
          <w:rFonts w:eastAsia="宋体" w:hint="eastAsia"/>
          <w:spacing w:val="23"/>
          <w:sz w:val="24"/>
        </w:rPr>
        <w:t>年，在这期间，学员需每年在英迪</w:t>
      </w:r>
      <w:r>
        <w:rPr>
          <w:rFonts w:ascii="Times New Roman" w:hAnsi="Times New Roman"/>
          <w:spacing w:val="23"/>
          <w:sz w:val="24"/>
        </w:rPr>
        <w:t>9</w:t>
      </w:r>
      <w:r>
        <w:rPr>
          <w:rFonts w:eastAsia="宋体" w:hint="eastAsia"/>
          <w:spacing w:val="23"/>
          <w:sz w:val="24"/>
        </w:rPr>
        <w:t>周，由导师个别授课，完成论文。英迪为马来西亚资格认证机构（</w:t>
      </w:r>
      <w:r>
        <w:rPr>
          <w:rFonts w:ascii="Times New Roman" w:hAnsi="Times New Roman"/>
          <w:spacing w:val="23"/>
          <w:sz w:val="24"/>
        </w:rPr>
        <w:t>MQA</w:t>
      </w:r>
      <w:r>
        <w:rPr>
          <w:rFonts w:eastAsia="宋体" w:hint="eastAsia"/>
          <w:spacing w:val="23"/>
          <w:sz w:val="24"/>
        </w:rPr>
        <w:t>）认可，中国教育部涉外监管网和中国留学网推荐。报考条件为硕士学位或同等学历，无特定专业背景要求，雅思成绩至少</w:t>
      </w:r>
      <w:r>
        <w:rPr>
          <w:rFonts w:ascii="Times New Roman" w:hAnsi="Times New Roman"/>
          <w:spacing w:val="23"/>
          <w:sz w:val="24"/>
        </w:rPr>
        <w:t>6.0</w:t>
      </w:r>
      <w:r>
        <w:rPr>
          <w:rFonts w:ascii="Times New Roman" w:hAnsi="Times New Roman" w:hint="eastAsia"/>
          <w:spacing w:val="23"/>
          <w:sz w:val="24"/>
        </w:rPr>
        <w:t>。</w:t>
      </w:r>
      <w:r/>
      <w:bookmarkStart w:id="0" w:name="_GoBack"/>
      <w:bookmarkEnd w:id="0"/>
      <w:r/>
      <w:r>
        <w:rPr>
          <w:rFonts w:ascii="Times New Roman" w:hAnsi="Times New Roman" w:hint="eastAsia"/>
          <w:sz w:val="24"/>
        </w:rPr>
      </w:r>
    </w:p>
    <w:sectPr>
      <w:footnotePr>
        <w:pos w:val="pageBottom"/>
        <w:numFmt w:val="decimal"/>
        <w:numStart w:val="1"/>
        <w:numRestart w:val="continuous"/>
      </w:footnotePr>
      <w:endnotePr>
        <w:pos w:val="docEnd"/>
        <w:numFmt w:val="decimal"/>
        <w:numStart w:val="1"/>
        <w:numRestart w:val="continuous"/>
      </w:endnotePr>
      <w:type w:val="nextPage"/>
      <w:pgSz w:h="16838" w:w="11906"/>
      <w:pgMar w:left="1800" w:top="1440" w:right="1800" w:bottom="1440"/>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1"/>
    <w:family w:val="swiss"/>
    <w:pitch w:val="default"/>
  </w:font>
  <w:font w:name="宋体">
    <w:panose1 w:val="02010600030101010101"/>
    <w:charset w:val="86"/>
    <w:family w:val="auto"/>
    <w:pitch w:val="default"/>
  </w:font>
  <w:font w:name="Wingdings">
    <w:panose1 w:val="05000000000000000000"/>
    <w:charset w:val="02"/>
    <w:family w:val="auto"/>
    <w:pitch w:val="default"/>
  </w:font>
  <w:font w:name="黑体">
    <w:panose1 w:val="02010600030101010101"/>
    <w:charset w:val="86"/>
    <w:family w:val="auto"/>
    <w:pitch w:val="default"/>
  </w:font>
  <w:font w:name="Courier New">
    <w:panose1 w:val="02070309020205020404"/>
    <w:charset w:val="01"/>
    <w:family w:val="modern"/>
    <w:pitch w:val="default"/>
  </w:font>
  <w:font w:name="Symbol">
    <w:panose1 w:val="05050102010706020507"/>
    <w:charset w:val="02"/>
    <w:family w:val="roman"/>
    <w:pitch w:val="default"/>
  </w:font>
  <w:font w:name="Calibri">
    <w:panose1 w:val="020F0502020204030204"/>
    <w:charset w:val="00"/>
    <w:family w:val="swiss"/>
    <w:pitch w:val="default"/>
  </w:font>
  <w:font w:name="等线">
    <w:panose1 w:val="02010600030101010101"/>
    <w:charset w:val="86"/>
    <w:family w:val="auto"/>
    <w:pitch w:val="default"/>
  </w:font>
  <w:font w:name="PMingLiUfalt">
    <w:panose1 w:val="02020603050405020304"/>
    <w:charset w:val="88"/>
    <w:family w:val="roman"/>
    <w:pitch w:val="default"/>
  </w:font>
  <w:font w:name="PMingLiU-ExtB">
    <w:panose1 w:val="020B0604020202020204"/>
    <w:charset w:val="88"/>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view w:val="print"/>
  <w:defaultTabStop w:val="420"/>
  <w:autoHyphenation w:val="0"/>
  <w:doNotShadeFormData w:val="0"/>
  <w:captions>
    <w:caption w:name="表格" w:pos="below" w:numFmt="decimal"/>
    <w:caption w:name="图解" w:pos="below" w:numFmt="decimal"/>
    <w:caption w:name="图片" w:pos="below" w:numFmt="decimal"/>
  </w:captions>
  <w:drawingGridHorizontalSpacing w:val="18546688"/>
  <w:drawingGridVerticalSpacing w:val="156"/>
  <w:revisionView w:comments="1" w:markup="1" w:insDel="1" w:formatting="1"/>
  <w:footnotePr>
    <w:pos w:val="pageBottom"/>
    <w:numFmt w:val="decimal"/>
    <w:numStart w:val="1"/>
    <w:numRestart w:val="continuous"/>
  </w:footnotePr>
  <w:endnotePr>
    <w:pos w:val="docEnd"/>
    <w:numFmt w:val="decimal"/>
    <w:numStart w:val="1"/>
    <w:numRestart w:val="continuous"/>
  </w:endnotePr>
  <w:compat>
    <w:doNotExpandShiftReturn w:val="1"/>
  </w:compat>
  <w:shapeDefaults>
    <o:shapedefaults v:ext="edit" spidmax="1026"/>
    <o:shapelayout v:ext="edit">
      <o:rules v:ext="edit"/>
    </o:shapelayout>
  </w:shapeDefaults>
  <w:tmPrefOne w:val="17"/>
  <w:tmPrefTwo w:val="1"/>
  <w:tmFmtPref w:val="55066091"/>
  <w:tmCommentsPr>
    <w:tmCommentsPlace w:val="0"/>
    <w:tmCommentsWidth w:val="3119"/>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0"/>
    <w:tmLastPosCaret>
      <w:tmLastPosPgfIdx w:val="10"/>
      <w:tmLastPosIdx w:val="0"/>
    </w:tmLastPosCaret>
    <w:tmLastPosAnchor>
      <w:tmLastPosPgfIdx w:val="0"/>
      <w:tmLastPosIdx w:val="0"/>
    </w:tmLastPosAnchor>
    <w:tmLastPosTblRect w:left="0" w:top="0" w:right="0" w:bottom="0"/>
    <w:tmAppRevision w:date="1537339728" w:val="694"/>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kern w:val="1"/>
        <w:sz w:val="21"/>
        <w:szCs w:val="24"/>
        <w:lang w:val="en-us" w:eastAsia="zh-cn" w:bidi="ar-sa"/>
      </w:rPr>
    </w:rPrDefault>
    <w:pPrDefault>
      <w:pPr>
        <w:spacing/>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rPr>
      <w:rFonts w:ascii="等线" w:hAnsi="等线" w:eastAsia="等线"/>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4"/>
        <w:lang w:val="en-us" w:eastAsia="zh-cn" w:bidi="ar-sa"/>
      </w:rPr>
    </w:rPrDefault>
    <w:pPrDefault>
      <w:pPr>
        <w:spacing/>
        <w:jc w:val="both"/>
        <w:widowControl w:val="0"/>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character" w:styleId="" w:default="1">
    <w:name w:val="Default Paragraph Font"/>
    <w:rPr>
      <w:rFonts w:ascii="等线" w:hAnsi="等线" w:eastAsia="等线"/>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rev.694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8</cp:revision>
  <dcterms:created xsi:type="dcterms:W3CDTF">2018-09-19T06:12:00Z</dcterms:created>
  <dcterms:modified xsi:type="dcterms:W3CDTF">2018-09-19T14:48:48Z</dcterms:modified>
</cp:coreProperties>
</file>