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"/>
        </w:rPr>
      </w:pPr>
    </w:p>
    <w:tbl>
      <w:tblPr>
        <w:tblStyle w:val="5"/>
        <w:tblW w:w="0" w:type="auto"/>
        <w:tblInd w:w="1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2481"/>
        <w:gridCol w:w="3961"/>
        <w:gridCol w:w="1766"/>
        <w:gridCol w:w="5117"/>
        <w:gridCol w:w="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98" w:hRule="atLeast"/>
        </w:trPr>
        <w:tc>
          <w:tcPr>
            <w:tcW w:w="1560" w:type="dxa"/>
            <w:shd w:val="clear" w:color="auto" w:fill="8DB3E2" w:themeFill="text2" w:themeFillTint="66"/>
          </w:tcPr>
          <w:p>
            <w:pPr>
              <w:pStyle w:val="10"/>
              <w:spacing w:before="130"/>
              <w:ind w:left="9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教案序号</w:t>
            </w:r>
          </w:p>
        </w:tc>
        <w:tc>
          <w:tcPr>
            <w:tcW w:w="6442" w:type="dxa"/>
            <w:gridSpan w:val="2"/>
          </w:tcPr>
          <w:p>
            <w:pPr>
              <w:pStyle w:val="10"/>
              <w:spacing w:before="197"/>
              <w:ind w:left="108"/>
              <w:rPr>
                <w:rFonts w:hint="default" w:eastAsia="宋体"/>
                <w:sz w:val="24"/>
                <w:lang w:val="en-US" w:eastAsia="zh-CN"/>
              </w:rPr>
            </w:pPr>
            <w:bookmarkStart w:id="0" w:name="_bookmark0"/>
            <w:bookmarkEnd w:id="0"/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766" w:type="dxa"/>
            <w:shd w:val="clear" w:color="auto" w:fill="8DB3E2" w:themeFill="text2" w:themeFillTint="66"/>
          </w:tcPr>
          <w:p>
            <w:pPr>
              <w:pStyle w:val="10"/>
              <w:spacing w:before="130"/>
              <w:ind w:left="403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授课题目</w:t>
            </w:r>
          </w:p>
        </w:tc>
        <w:tc>
          <w:tcPr>
            <w:tcW w:w="5117" w:type="dxa"/>
          </w:tcPr>
          <w:p>
            <w:pPr>
              <w:pStyle w:val="10"/>
              <w:spacing w:before="210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整车控制器高压不上电的故障排除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68" w:hRule="atLeast"/>
        </w:trPr>
        <w:tc>
          <w:tcPr>
            <w:tcW w:w="1560" w:type="dxa"/>
            <w:shd w:val="clear" w:color="auto" w:fill="8DB3E2" w:themeFill="text2" w:themeFillTint="66"/>
          </w:tcPr>
          <w:p>
            <w:pPr>
              <w:pStyle w:val="10"/>
              <w:spacing w:before="62"/>
              <w:ind w:left="9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授课学时</w:t>
            </w:r>
          </w:p>
        </w:tc>
        <w:tc>
          <w:tcPr>
            <w:tcW w:w="6442" w:type="dxa"/>
            <w:gridSpan w:val="2"/>
          </w:tcPr>
          <w:p>
            <w:pPr>
              <w:pStyle w:val="10"/>
              <w:spacing w:before="129"/>
              <w:ind w:left="108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1学时（45分钟）</w:t>
            </w:r>
          </w:p>
        </w:tc>
        <w:tc>
          <w:tcPr>
            <w:tcW w:w="1766" w:type="dxa"/>
            <w:shd w:val="clear" w:color="auto" w:fill="8DB3E2" w:themeFill="text2" w:themeFillTint="66"/>
          </w:tcPr>
          <w:p>
            <w:pPr>
              <w:pStyle w:val="10"/>
              <w:spacing w:before="62"/>
              <w:ind w:left="403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课程类型</w:t>
            </w:r>
          </w:p>
        </w:tc>
        <w:tc>
          <w:tcPr>
            <w:tcW w:w="5117" w:type="dxa"/>
          </w:tcPr>
          <w:p>
            <w:pPr>
              <w:pStyle w:val="10"/>
              <w:spacing w:before="129"/>
              <w:ind w:left="111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理实一体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65" w:hRule="atLeast"/>
        </w:trPr>
        <w:tc>
          <w:tcPr>
            <w:tcW w:w="1560" w:type="dxa"/>
            <w:shd w:val="clear" w:color="auto" w:fill="8DB3E2" w:themeFill="text2" w:themeFillTint="66"/>
          </w:tcPr>
          <w:p>
            <w:pPr>
              <w:pStyle w:val="10"/>
              <w:tabs>
                <w:tab w:val="left" w:pos="730"/>
              </w:tabs>
              <w:spacing w:before="62"/>
              <w:ind w:left="10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</w:t>
            </w:r>
            <w:r>
              <w:rPr>
                <w:rFonts w:hint="eastAsia" w:ascii="微软雅黑" w:eastAsia="微软雅黑"/>
                <w:sz w:val="24"/>
              </w:rPr>
              <w:tab/>
            </w:r>
            <w:r>
              <w:rPr>
                <w:rFonts w:hint="eastAsia" w:ascii="微软雅黑" w:eastAsia="微软雅黑"/>
                <w:sz w:val="24"/>
              </w:rPr>
              <w:t>材</w:t>
            </w:r>
          </w:p>
        </w:tc>
        <w:tc>
          <w:tcPr>
            <w:tcW w:w="13325" w:type="dxa"/>
            <w:gridSpan w:val="4"/>
          </w:tcPr>
          <w:p>
            <w:pPr>
              <w:pStyle w:val="10"/>
              <w:spacing w:before="129"/>
              <w:ind w:left="136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国规教材</w:t>
            </w:r>
            <w:r>
              <w:rPr>
                <w:rFonts w:hint="eastAsia"/>
                <w:sz w:val="24"/>
                <w:lang w:val="en-US" w:eastAsia="zh-CN"/>
              </w:rPr>
              <w:t>+中德诺浩（参考教材）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04" w:hRule="atLeast"/>
        </w:trPr>
        <w:tc>
          <w:tcPr>
            <w:tcW w:w="1560" w:type="dxa"/>
            <w:shd w:val="clear" w:color="auto" w:fill="8DB3E2" w:themeFill="text2" w:themeFillTint="66"/>
          </w:tcPr>
          <w:p>
            <w:pPr>
              <w:pStyle w:val="10"/>
              <w:spacing w:before="81"/>
              <w:ind w:left="9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授课地点</w:t>
            </w:r>
          </w:p>
        </w:tc>
        <w:tc>
          <w:tcPr>
            <w:tcW w:w="6442" w:type="dxa"/>
            <w:gridSpan w:val="2"/>
          </w:tcPr>
          <w:p>
            <w:pPr>
              <w:pStyle w:val="10"/>
              <w:spacing w:before="148"/>
              <w:ind w:left="108"/>
              <w:rPr>
                <w:rFonts w:hint="default"/>
                <w:sz w:val="24"/>
                <w:lang w:val="en-US"/>
              </w:rPr>
            </w:pPr>
            <w:r>
              <w:rPr>
                <w:rFonts w:hint="eastAsia"/>
                <w:sz w:val="24"/>
                <w:lang w:val="en-US" w:eastAsia="zh-CN"/>
              </w:rPr>
              <w:t>新能源汽车电控实训室</w:t>
            </w:r>
          </w:p>
        </w:tc>
        <w:tc>
          <w:tcPr>
            <w:tcW w:w="1766" w:type="dxa"/>
            <w:shd w:val="clear" w:color="auto" w:fill="8DB3E2" w:themeFill="text2" w:themeFillTint="66"/>
          </w:tcPr>
          <w:p>
            <w:pPr>
              <w:pStyle w:val="10"/>
              <w:spacing w:before="62"/>
              <w:ind w:left="403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授课对象</w:t>
            </w:r>
          </w:p>
        </w:tc>
        <w:tc>
          <w:tcPr>
            <w:tcW w:w="5117" w:type="dxa"/>
            <w:shd w:val="clear" w:color="auto" w:fill="FFFFFF" w:themeFill="background1"/>
          </w:tcPr>
          <w:p>
            <w:pPr>
              <w:pStyle w:val="10"/>
              <w:spacing w:before="148"/>
              <w:ind w:left="111"/>
              <w:rPr>
                <w:rFonts w:hint="default"/>
                <w:sz w:val="24"/>
                <w:lang w:val="en-US"/>
              </w:rPr>
            </w:pPr>
            <w:r>
              <w:rPr>
                <w:rFonts w:hint="eastAsia"/>
                <w:sz w:val="24"/>
                <w:lang w:val="en-US" w:eastAsia="zh-CN"/>
              </w:rPr>
              <w:t>2022级新能源专业学生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154" w:hRule="atLeast"/>
        </w:trPr>
        <w:tc>
          <w:tcPr>
            <w:tcW w:w="1560" w:type="dxa"/>
            <w:shd w:val="clear" w:color="auto" w:fill="8DB3E2" w:themeFill="text2" w:themeFillTint="66"/>
          </w:tcPr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spacing w:before="3"/>
              <w:rPr>
                <w:rFonts w:ascii="Times New Roman"/>
                <w:sz w:val="39"/>
              </w:rPr>
            </w:pPr>
          </w:p>
          <w:p>
            <w:pPr>
              <w:pStyle w:val="10"/>
              <w:spacing w:line="223" w:lineRule="auto"/>
              <w:ind w:left="539" w:right="288" w:hanging="240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教学内容分析</w:t>
            </w:r>
          </w:p>
        </w:tc>
        <w:tc>
          <w:tcPr>
            <w:tcW w:w="13325" w:type="dxa"/>
            <w:gridSpan w:val="4"/>
          </w:tcPr>
          <w:p>
            <w:pPr>
              <w:pStyle w:val="1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本教案为“新能源汽车高压系统”中“任务4  高压不上电”中的“整车控制器高压不上电的故障排除”，共1学时，教学内容如下：</w:t>
            </w:r>
          </w:p>
          <w:p>
            <w:pPr>
              <w:pStyle w:val="10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1.比亚迪秦高压上电过程</w:t>
            </w:r>
          </w:p>
          <w:p>
            <w:pPr>
              <w:pStyle w:val="10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2.整车控制器高压上电电路</w:t>
            </w:r>
          </w:p>
          <w:p>
            <w:pPr>
              <w:pStyle w:val="10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3.整车控制器高压不上电故障诊断</w:t>
            </w:r>
          </w:p>
          <w:p>
            <w:pPr>
              <w:pStyle w:val="10"/>
              <w:tabs>
                <w:tab w:val="left" w:pos="669"/>
              </w:tabs>
              <w:spacing w:before="84"/>
              <w:ind w:left="9"/>
              <w:jc w:val="center"/>
              <w:rPr>
                <w:rFonts w:hint="eastAsia" w:eastAsia="宋体"/>
                <w:sz w:val="24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0" w:hRule="atLeast"/>
        </w:trPr>
        <w:tc>
          <w:tcPr>
            <w:tcW w:w="1560" w:type="dxa"/>
            <w:vMerge w:val="restart"/>
            <w:shd w:val="clear" w:color="auto" w:fill="8DB3E2" w:themeFill="text2" w:themeFillTint="66"/>
          </w:tcPr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spacing w:before="255"/>
              <w:ind w:left="299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学情分析</w:t>
            </w:r>
          </w:p>
        </w:tc>
        <w:tc>
          <w:tcPr>
            <w:tcW w:w="2481" w:type="dxa"/>
            <w:tcBorders>
              <w:bottom w:val="single" w:color="auto" w:sz="4" w:space="0"/>
              <w:right w:val="single" w:color="auto" w:sz="4" w:space="0"/>
            </w:tcBorders>
          </w:tcPr>
          <w:p>
            <w:pPr>
              <w:pStyle w:val="10"/>
              <w:spacing w:before="247"/>
              <w:ind w:left="276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知识和技能基础</w:t>
            </w:r>
          </w:p>
          <w:p>
            <w:pPr>
              <w:pStyle w:val="10"/>
              <w:spacing w:before="247"/>
              <w:ind w:left="276"/>
              <w:rPr>
                <w:rFonts w:hint="eastAsia" w:ascii="微软雅黑" w:eastAsia="微软雅黑"/>
                <w:sz w:val="24"/>
                <w:lang w:eastAsia="zh-CN"/>
              </w:rPr>
            </w:pPr>
          </w:p>
        </w:tc>
        <w:tc>
          <w:tcPr>
            <w:tcW w:w="10845" w:type="dxa"/>
            <w:gridSpan w:val="4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1.熟悉新能源汽车高压系统的组成与工作原理。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2.掌握北汽EV450高压上电流程。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8" w:hRule="atLeast"/>
        </w:trPr>
        <w:tc>
          <w:tcPr>
            <w:tcW w:w="1560" w:type="dxa"/>
            <w:vMerge w:val="continue"/>
            <w:shd w:val="clear" w:color="auto" w:fill="8DB3E2" w:themeFill="text2" w:themeFillTint="66"/>
          </w:tcPr>
          <w:p>
            <w:pPr>
              <w:pStyle w:val="10"/>
              <w:spacing w:before="255"/>
              <w:ind w:left="299"/>
              <w:rPr>
                <w:rFonts w:hint="eastAsia" w:ascii="微软雅黑" w:eastAsia="微软雅黑"/>
                <w:sz w:val="24"/>
              </w:rPr>
            </w:pPr>
          </w:p>
        </w:tc>
        <w:tc>
          <w:tcPr>
            <w:tcW w:w="24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0"/>
              <w:spacing w:before="247"/>
              <w:ind w:left="276"/>
              <w:rPr>
                <w:rFonts w:hint="eastAsia" w:ascii="微软雅黑" w:eastAsia="微软雅黑"/>
                <w:sz w:val="24"/>
                <w:lang w:eastAsia="zh-CN"/>
              </w:rPr>
            </w:pPr>
            <w:r>
              <w:rPr>
                <w:rFonts w:hint="eastAsia" w:ascii="微软雅黑" w:eastAsia="微软雅黑"/>
                <w:sz w:val="24"/>
              </w:rPr>
              <w:t>认知和实践能力</w:t>
            </w:r>
          </w:p>
        </w:tc>
        <w:tc>
          <w:tcPr>
            <w:tcW w:w="1084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具有一定的查阅标准、应用信息化手段和独立分析的能力，但缺乏深度探究的能力和求根问源的耐心。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8" w:hRule="atLeast"/>
        </w:trPr>
        <w:tc>
          <w:tcPr>
            <w:tcW w:w="1560" w:type="dxa"/>
            <w:vMerge w:val="continue"/>
            <w:shd w:val="clear" w:color="auto" w:fill="8DB3E2" w:themeFill="text2" w:themeFillTint="66"/>
          </w:tcPr>
          <w:p>
            <w:pPr>
              <w:pStyle w:val="10"/>
              <w:spacing w:before="255"/>
              <w:ind w:left="299"/>
              <w:rPr>
                <w:rFonts w:hint="eastAsia" w:ascii="微软雅黑" w:eastAsia="微软雅黑"/>
                <w:sz w:val="24"/>
              </w:rPr>
            </w:pPr>
          </w:p>
        </w:tc>
        <w:tc>
          <w:tcPr>
            <w:tcW w:w="24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0"/>
              <w:spacing w:before="247"/>
              <w:ind w:left="276"/>
              <w:rPr>
                <w:rFonts w:hint="eastAsia" w:ascii="微软雅黑" w:eastAsia="微软雅黑"/>
                <w:sz w:val="24"/>
                <w:lang w:eastAsia="zh-CN"/>
              </w:rPr>
            </w:pPr>
            <w:r>
              <w:rPr>
                <w:rFonts w:hint="eastAsia" w:ascii="微软雅黑" w:eastAsia="微软雅黑"/>
                <w:sz w:val="24"/>
                <w:lang w:eastAsia="zh-CN"/>
              </w:rPr>
              <w:t>学习特点</w:t>
            </w:r>
          </w:p>
        </w:tc>
        <w:tc>
          <w:tcPr>
            <w:tcW w:w="1084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1.看待完成任务比寻求原因更重要。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2.喜欢接受任务挑战。</w:t>
            </w:r>
          </w:p>
        </w:tc>
      </w:tr>
    </w:tbl>
    <w:tbl>
      <w:tblPr>
        <w:tblStyle w:val="5"/>
        <w:tblpPr w:leftFromText="180" w:rightFromText="180" w:vertAnchor="text" w:horzAnchor="page" w:tblpX="990" w:tblpY="3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2496"/>
        <w:gridCol w:w="108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1560" w:type="dxa"/>
            <w:vMerge w:val="restart"/>
            <w:shd w:val="clear" w:color="auto" w:fill="8DB3E2" w:themeFill="text2" w:themeFillTint="66"/>
          </w:tcPr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rPr>
                <w:rFonts w:ascii="Times New Roman"/>
                <w:sz w:val="32"/>
              </w:rPr>
            </w:pPr>
          </w:p>
          <w:p>
            <w:pPr>
              <w:pStyle w:val="10"/>
              <w:spacing w:before="9"/>
              <w:rPr>
                <w:rFonts w:ascii="Times New Roman"/>
                <w:sz w:val="27"/>
              </w:rPr>
            </w:pPr>
          </w:p>
          <w:p>
            <w:pPr>
              <w:pStyle w:val="10"/>
              <w:ind w:left="299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教学目标</w:t>
            </w:r>
          </w:p>
        </w:tc>
        <w:tc>
          <w:tcPr>
            <w:tcW w:w="2496" w:type="dxa"/>
          </w:tcPr>
          <w:p>
            <w:pPr>
              <w:pStyle w:val="10"/>
              <w:spacing w:before="244"/>
              <w:ind w:left="276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知识目标</w:t>
            </w:r>
          </w:p>
        </w:tc>
        <w:tc>
          <w:tcPr>
            <w:tcW w:w="10831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1.掌握比亚迪秦的高压上电过程。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2.掌握整车控制器高压上电电路。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3.掌握北汽EV450和比亚迪秦整车控制器高压不上电的故障诊断流程。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7" w:hRule="atLeast"/>
        </w:trPr>
        <w:tc>
          <w:tcPr>
            <w:tcW w:w="1560" w:type="dxa"/>
            <w:vMerge w:val="continue"/>
            <w:tcBorders>
              <w:top w:val="nil"/>
            </w:tcBorders>
            <w:shd w:val="clear" w:color="auto" w:fill="8DB3E2" w:themeFill="text2" w:themeFillTint="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>
            <w:pPr>
              <w:pStyle w:val="10"/>
              <w:spacing w:before="247"/>
              <w:ind w:left="276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能力目标</w:t>
            </w:r>
          </w:p>
        </w:tc>
        <w:tc>
          <w:tcPr>
            <w:tcW w:w="10831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1.能解决北汽EV450和比亚迪秦的整车控制器高压不上电问题。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2.能分析和理解各类整车控制器高压不上电的故障案例。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9" w:hRule="atLeast"/>
        </w:trPr>
        <w:tc>
          <w:tcPr>
            <w:tcW w:w="1560" w:type="dxa"/>
            <w:vMerge w:val="continue"/>
            <w:tcBorders>
              <w:top w:val="nil"/>
            </w:tcBorders>
            <w:shd w:val="clear" w:color="auto" w:fill="8DB3E2" w:themeFill="text2" w:themeFillTint="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6" w:type="dxa"/>
          </w:tcPr>
          <w:p>
            <w:pPr>
              <w:pStyle w:val="10"/>
              <w:spacing w:before="8"/>
              <w:rPr>
                <w:rFonts w:ascii="Times New Roman"/>
                <w:sz w:val="41"/>
              </w:rPr>
            </w:pPr>
          </w:p>
          <w:p>
            <w:pPr>
              <w:pStyle w:val="10"/>
              <w:ind w:left="276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素质目标</w:t>
            </w:r>
          </w:p>
        </w:tc>
        <w:tc>
          <w:tcPr>
            <w:tcW w:w="10831" w:type="dxa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1.通过故障训练，夯实技能，培养严谨、专业、追求进步的工作意识。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2.通过完成北汽EV450和比亚迪秦的整车控制器高压不上电故障检修，建立胜任工作的自信心，提升职业认同感和自豪感。</w:t>
            </w:r>
          </w:p>
          <w:p>
            <w:pPr>
              <w:pStyle w:val="10"/>
              <w:numPr>
                <w:ilvl w:val="0"/>
                <w:numId w:val="0"/>
              </w:numPr>
              <w:tabs>
                <w:tab w:val="left" w:pos="891"/>
              </w:tabs>
              <w:spacing w:before="8" w:after="0" w:line="460" w:lineRule="atLeast"/>
              <w:ind w:right="178" w:rightChars="0"/>
              <w:jc w:val="left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3.通过思政教育，培养学生树立锤炼技能的工匠精神，燃起为国家新能源事业奉献的远大情怀。</w:t>
            </w:r>
          </w:p>
        </w:tc>
      </w:tr>
    </w:tbl>
    <w:p>
      <w:pPr>
        <w:pStyle w:val="2"/>
        <w:rPr>
          <w:rFonts w:ascii="Times New Roman"/>
          <w:sz w:val="2"/>
        </w:rPr>
      </w:pPr>
    </w:p>
    <w:p>
      <w:pPr>
        <w:spacing w:after="0" w:line="240" w:lineRule="auto"/>
        <w:jc w:val="left"/>
        <w:rPr>
          <w:sz w:val="24"/>
        </w:rPr>
        <w:sectPr>
          <w:footerReference r:id="rId5" w:type="default"/>
          <w:pgSz w:w="16840" w:h="11910" w:orient="landscape"/>
          <w:pgMar w:top="1100" w:right="620" w:bottom="1160" w:left="860" w:header="0" w:footer="973" w:gutter="0"/>
          <w:pgNumType w:fmt="decimal"/>
          <w:cols w:space="720" w:num="1"/>
        </w:sectPr>
      </w:pPr>
    </w:p>
    <w:p>
      <w:pPr>
        <w:pStyle w:val="2"/>
        <w:rPr>
          <w:rFonts w:ascii="Times New Roman"/>
          <w:sz w:val="2"/>
        </w:rPr>
      </w:pPr>
    </w:p>
    <w:tbl>
      <w:tblPr>
        <w:tblStyle w:val="5"/>
        <w:tblW w:w="0" w:type="auto"/>
        <w:tblInd w:w="1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5717"/>
        <w:gridCol w:w="1420"/>
        <w:gridCol w:w="61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1560" w:type="dxa"/>
            <w:shd w:val="clear" w:color="auto" w:fill="8DB3E2" w:themeFill="text2" w:themeFillTint="66"/>
            <w:vAlign w:val="center"/>
          </w:tcPr>
          <w:p>
            <w:pPr>
              <w:pStyle w:val="10"/>
              <w:spacing w:before="1"/>
              <w:jc w:val="center"/>
              <w:rPr>
                <w:rFonts w:ascii="Times New Roman"/>
                <w:sz w:val="32"/>
              </w:rPr>
            </w:pPr>
          </w:p>
          <w:p>
            <w:pPr>
              <w:pStyle w:val="10"/>
              <w:spacing w:before="1"/>
              <w:ind w:left="9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教学重点</w:t>
            </w:r>
          </w:p>
        </w:tc>
        <w:tc>
          <w:tcPr>
            <w:tcW w:w="13324" w:type="dxa"/>
            <w:gridSpan w:val="3"/>
            <w:vAlign w:val="center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09"/>
              </w:tabs>
              <w:spacing w:before="158" w:after="0" w:line="240" w:lineRule="auto"/>
              <w:ind w:right="0" w:rightChars="0"/>
              <w:jc w:val="both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整车控制器高压上电电路。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8" w:hRule="atLeast"/>
        </w:trPr>
        <w:tc>
          <w:tcPr>
            <w:tcW w:w="1560" w:type="dxa"/>
            <w:shd w:val="clear" w:color="auto" w:fill="8DB3E2" w:themeFill="text2" w:themeFillTint="66"/>
            <w:vAlign w:val="center"/>
          </w:tcPr>
          <w:p>
            <w:pPr>
              <w:pStyle w:val="10"/>
              <w:spacing w:line="223" w:lineRule="auto"/>
              <w:ind w:left="299" w:right="288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教学重点解决措施</w:t>
            </w:r>
          </w:p>
        </w:tc>
        <w:tc>
          <w:tcPr>
            <w:tcW w:w="13324" w:type="dxa"/>
            <w:gridSpan w:val="3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9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58" w:after="0" w:line="360" w:lineRule="auto"/>
              <w:ind w:right="0" w:rightChars="0"/>
              <w:jc w:val="both"/>
              <w:textAlignment w:val="auto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通过重点讲解，将高压上电电路与高压上电过程有机结合，组织学生根据电路图设故和排故，在排故任务中加深对电路的理解，从而解决教学重点。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2" w:hRule="atLeast"/>
        </w:trPr>
        <w:tc>
          <w:tcPr>
            <w:tcW w:w="1560" w:type="dxa"/>
            <w:shd w:val="clear" w:color="auto" w:fill="8DB3E2" w:themeFill="text2" w:themeFillTint="66"/>
            <w:vAlign w:val="center"/>
          </w:tcPr>
          <w:p>
            <w:pPr>
              <w:pStyle w:val="10"/>
              <w:spacing w:before="124"/>
              <w:ind w:left="9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教学难点</w:t>
            </w:r>
          </w:p>
        </w:tc>
        <w:tc>
          <w:tcPr>
            <w:tcW w:w="13324" w:type="dxa"/>
            <w:gridSpan w:val="3"/>
            <w:vAlign w:val="center"/>
          </w:tcPr>
          <w:p>
            <w:pPr>
              <w:pStyle w:val="10"/>
              <w:spacing w:before="192"/>
              <w:ind w:left="108"/>
              <w:jc w:val="both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实训设备只有四台，不能保证全部学生同时实训。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1" w:hRule="atLeast"/>
        </w:trPr>
        <w:tc>
          <w:tcPr>
            <w:tcW w:w="1560" w:type="dxa"/>
            <w:shd w:val="clear" w:color="auto" w:fill="8DB3E2" w:themeFill="text2" w:themeFillTint="66"/>
            <w:vAlign w:val="center"/>
          </w:tcPr>
          <w:p>
            <w:pPr>
              <w:pStyle w:val="10"/>
              <w:spacing w:line="223" w:lineRule="auto"/>
              <w:ind w:left="299" w:right="288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教学难点解决措施</w:t>
            </w:r>
          </w:p>
        </w:tc>
        <w:tc>
          <w:tcPr>
            <w:tcW w:w="13324" w:type="dxa"/>
            <w:gridSpan w:val="3"/>
            <w:vAlign w:val="center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jc w:val="both"/>
              <w:textAlignment w:val="auto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通过培训部分学生作为裁判，让裁判组织和监督实训学生，从而可实现分批实训。一部分学生实训时，其余学生可在教师带领下，进行头脑风暴，通过纸上推演，掌握各种故障案例的解决方法，再在实训中进行验证，</w:t>
            </w:r>
            <w:r>
              <w:rPr>
                <w:rFonts w:hint="eastAsia"/>
                <w:sz w:val="24"/>
                <w:lang w:eastAsia="zh-CN"/>
              </w:rPr>
              <w:t>突破教学难点。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1560" w:type="dxa"/>
            <w:shd w:val="clear" w:color="auto" w:fill="8DB3E2" w:themeFill="text2" w:themeFillTint="66"/>
            <w:vAlign w:val="center"/>
          </w:tcPr>
          <w:p>
            <w:pPr>
              <w:pStyle w:val="10"/>
              <w:tabs>
                <w:tab w:val="left" w:pos="730"/>
              </w:tabs>
              <w:ind w:left="10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</w:t>
            </w:r>
            <w:r>
              <w:rPr>
                <w:rFonts w:hint="eastAsia" w:ascii="微软雅黑" w:eastAsia="微软雅黑"/>
                <w:sz w:val="24"/>
              </w:rPr>
              <w:tab/>
            </w:r>
            <w:r>
              <w:rPr>
                <w:rFonts w:hint="eastAsia" w:ascii="微软雅黑" w:eastAsia="微软雅黑"/>
                <w:sz w:val="24"/>
              </w:rPr>
              <w:t>法</w:t>
            </w:r>
          </w:p>
        </w:tc>
        <w:tc>
          <w:tcPr>
            <w:tcW w:w="5717" w:type="dxa"/>
            <w:vAlign w:val="center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09"/>
              </w:tabs>
              <w:spacing w:before="159" w:after="0" w:line="240" w:lineRule="auto"/>
              <w:ind w:left="107" w:leftChars="0" w:right="0" w:rightChars="0"/>
              <w:jc w:val="both"/>
              <w:rPr>
                <w:sz w:val="24"/>
              </w:rPr>
            </w:pPr>
            <w:r>
              <w:rPr>
                <w:rFonts w:hint="eastAsia"/>
                <w:sz w:val="24"/>
                <w:lang w:eastAsia="zh-CN"/>
              </w:rPr>
              <w:t>任务驱动教学法、分组教学法</w:t>
            </w:r>
          </w:p>
        </w:tc>
        <w:tc>
          <w:tcPr>
            <w:tcW w:w="1420" w:type="dxa"/>
            <w:shd w:val="clear" w:color="auto" w:fill="8DB3E2" w:themeFill="text2" w:themeFillTint="66"/>
            <w:vAlign w:val="center"/>
          </w:tcPr>
          <w:p>
            <w:pPr>
              <w:pStyle w:val="10"/>
              <w:tabs>
                <w:tab w:val="left" w:pos="951"/>
              </w:tabs>
              <w:ind w:left="231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学</w:t>
            </w:r>
            <w:r>
              <w:rPr>
                <w:rFonts w:hint="eastAsia" w:ascii="微软雅黑" w:eastAsia="微软雅黑"/>
                <w:sz w:val="24"/>
              </w:rPr>
              <w:tab/>
            </w:r>
            <w:r>
              <w:rPr>
                <w:rFonts w:hint="eastAsia" w:ascii="微软雅黑" w:eastAsia="微软雅黑"/>
                <w:sz w:val="24"/>
              </w:rPr>
              <w:t>法</w:t>
            </w:r>
          </w:p>
        </w:tc>
        <w:tc>
          <w:tcPr>
            <w:tcW w:w="6187" w:type="dxa"/>
            <w:shd w:val="clear" w:color="auto" w:fill="FFFFFF" w:themeFill="background1"/>
            <w:vAlign w:val="center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410"/>
              </w:tabs>
              <w:spacing w:before="158" w:after="0" w:line="240" w:lineRule="auto"/>
              <w:ind w:left="108" w:leftChars="0" w:right="0" w:rightChars="0"/>
              <w:jc w:val="both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eastAsia="zh-CN"/>
              </w:rPr>
              <w:t>练习学习法、探究学习法、</w:t>
            </w:r>
            <w:r>
              <w:rPr>
                <w:rFonts w:hint="eastAsia"/>
                <w:sz w:val="24"/>
                <w:lang w:val="en-US" w:eastAsia="zh-CN"/>
              </w:rPr>
              <w:t>讨论学习法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8" w:hRule="atLeast"/>
        </w:trPr>
        <w:tc>
          <w:tcPr>
            <w:tcW w:w="1560" w:type="dxa"/>
            <w:shd w:val="clear" w:color="auto" w:fill="8DB3E2" w:themeFill="text2" w:themeFillTint="66"/>
            <w:vAlign w:val="center"/>
          </w:tcPr>
          <w:p>
            <w:pPr>
              <w:pStyle w:val="10"/>
              <w:spacing w:before="45"/>
              <w:ind w:left="9"/>
              <w:jc w:val="center"/>
              <w:rPr>
                <w:rFonts w:hint="eastAsia" w:ascii="微软雅黑" w:eastAsia="微软雅黑"/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>教学环境</w:t>
            </w:r>
          </w:p>
        </w:tc>
        <w:tc>
          <w:tcPr>
            <w:tcW w:w="13324" w:type="dxa"/>
            <w:gridSpan w:val="3"/>
          </w:tcPr>
          <w:p>
            <w:pPr>
              <w:pStyle w:val="10"/>
              <w:spacing w:before="112"/>
              <w:ind w:left="108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新能源汽车电控实训室</w:t>
            </w:r>
          </w:p>
          <w:p>
            <w:pPr>
              <w:pStyle w:val="10"/>
              <w:spacing w:before="112"/>
              <w:ind w:left="108"/>
              <w:jc w:val="center"/>
              <w:rPr>
                <w:rFonts w:hint="default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3966845" cy="1935480"/>
                  <wp:effectExtent l="0" t="0" r="14605" b="7620"/>
                  <wp:docPr id="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84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jc w:val="center"/>
        <w:rPr>
          <w:sz w:val="24"/>
        </w:rPr>
        <w:sectPr>
          <w:footerReference r:id="rId6" w:type="default"/>
          <w:pgSz w:w="16840" w:h="11910" w:orient="landscape"/>
          <w:pgMar w:top="1100" w:right="620" w:bottom="1160" w:left="860" w:header="0" w:footer="973" w:gutter="0"/>
          <w:pgNumType w:fmt="decimal" w:start="3"/>
          <w:cols w:space="720" w:num="1"/>
        </w:sectPr>
      </w:pPr>
    </w:p>
    <w:tbl>
      <w:tblPr>
        <w:tblStyle w:val="5"/>
        <w:tblW w:w="511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3304"/>
        <w:gridCol w:w="3802"/>
        <w:gridCol w:w="3634"/>
        <w:gridCol w:w="34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493" w:type="pct"/>
            <w:shd w:val="clear" w:color="auto" w:fill="006FC0"/>
          </w:tcPr>
          <w:p>
            <w:pPr>
              <w:pStyle w:val="10"/>
              <w:spacing w:line="431" w:lineRule="exact"/>
              <w:ind w:left="398"/>
              <w:rPr>
                <w:rFonts w:hint="eastAsia" w:ascii="微软雅黑" w:eastAsia="微软雅黑"/>
                <w:b/>
                <w:sz w:val="24"/>
              </w:rPr>
            </w:pPr>
            <w:bookmarkStart w:id="1" w:name="_bookmark1"/>
            <w:bookmarkEnd w:id="1"/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环节</w:t>
            </w:r>
          </w:p>
        </w:tc>
        <w:tc>
          <w:tcPr>
            <w:tcW w:w="1050" w:type="pct"/>
            <w:shd w:val="clear" w:color="auto" w:fill="006FC0"/>
          </w:tcPr>
          <w:p>
            <w:pPr>
              <w:pStyle w:val="10"/>
              <w:spacing w:line="431" w:lineRule="exact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内容</w:t>
            </w:r>
          </w:p>
        </w:tc>
        <w:tc>
          <w:tcPr>
            <w:tcW w:w="1209" w:type="pct"/>
            <w:shd w:val="clear" w:color="auto" w:fill="006FC0"/>
          </w:tcPr>
          <w:p>
            <w:pPr>
              <w:pStyle w:val="10"/>
              <w:spacing w:line="431" w:lineRule="exact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教师</w:t>
            </w:r>
          </w:p>
          <w:p>
            <w:pPr>
              <w:pStyle w:val="10"/>
              <w:spacing w:before="52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155" w:type="pct"/>
            <w:shd w:val="clear" w:color="auto" w:fill="006FC0"/>
          </w:tcPr>
          <w:p>
            <w:pPr>
              <w:pStyle w:val="10"/>
              <w:spacing w:line="431" w:lineRule="exact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学生</w:t>
            </w:r>
          </w:p>
          <w:p>
            <w:pPr>
              <w:pStyle w:val="10"/>
              <w:spacing w:before="52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091" w:type="pct"/>
            <w:shd w:val="clear" w:color="auto" w:fill="006FC0"/>
          </w:tcPr>
          <w:p>
            <w:pPr>
              <w:pStyle w:val="10"/>
              <w:spacing w:line="431" w:lineRule="exact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设计</w:t>
            </w:r>
          </w:p>
          <w:p>
            <w:pPr>
              <w:pStyle w:val="10"/>
              <w:spacing w:before="52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意图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93" w:type="pct"/>
            <w:vMerge w:val="restart"/>
            <w:vAlign w:val="center"/>
          </w:tcPr>
          <w:p>
            <w:pPr>
              <w:pStyle w:val="10"/>
              <w:ind w:left="126" w:firstLine="241" w:firstLineChars="100"/>
              <w:jc w:val="both"/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课前</w:t>
            </w:r>
          </w:p>
          <w:p>
            <w:pPr>
              <w:pStyle w:val="10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050" w:type="pct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jc w:val="both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寻找高压不上电故障案例（课前一周）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jc w:val="both"/>
              <w:textAlignment w:val="auto"/>
              <w:rPr>
                <w:rFonts w:hint="default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szCs w:val="22"/>
                <w:lang w:val="en-US" w:eastAsia="zh-CN" w:bidi="zh-CN"/>
              </w:rPr>
              <w:t>在校内寻找可用的案例车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pct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布置寻找案例车的任务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在智慧课堂布置任务，鼓励学生利用1+X基地，了解校内教师车辆是否有高压无法上电的故障。</w:t>
            </w:r>
          </w:p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布置任务：案例汽车的教学使用</w:t>
            </w:r>
          </w:p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鼓励学生与寻找到的车主沟通，将车应用到课堂教学上。</w:t>
            </w:r>
          </w:p>
        </w:tc>
        <w:tc>
          <w:tcPr>
            <w:tcW w:w="1155" w:type="pct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接受任务寻找案例车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根据任务，利用1+X基地，接触校内教师车辆，寻找合适案例。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协调案例汽车的教学使用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联系车辆故障的教师，争取将其车辆用作教学车辆。</w:t>
            </w:r>
          </w:p>
        </w:tc>
        <w:tc>
          <w:tcPr>
            <w:tcW w:w="1091" w:type="pct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宋体"/>
                <w:sz w:val="24"/>
                <w:szCs w:val="24"/>
                <w:lang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提倡社会服务，培养经验积累意识</w:t>
            </w:r>
            <w:r>
              <w:rPr>
                <w:rFonts w:hint="eastAsia" w:cs="Times New Roman"/>
                <w:sz w:val="24"/>
                <w:lang w:val="zh-CN" w:eastAsia="zh-CN"/>
              </w:rPr>
              <w:t>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培养</w:t>
            </w:r>
            <w:r>
              <w:rPr>
                <w:rFonts w:hint="eastAsia" w:cs="Times New Roman"/>
                <w:sz w:val="24"/>
                <w:lang w:val="zh-CN" w:eastAsia="zh-CN"/>
              </w:rPr>
              <w:t>学生</w:t>
            </w:r>
            <w:r>
              <w:rPr>
                <w:rFonts w:hint="eastAsia" w:cs="Times New Roman"/>
                <w:sz w:val="24"/>
                <w:lang w:val="en-US" w:eastAsia="zh-CN"/>
              </w:rPr>
              <w:t>的沟通和处事能力</w:t>
            </w:r>
            <w:r>
              <w:rPr>
                <w:rFonts w:hint="eastAsia" w:cs="Times New Roman"/>
                <w:sz w:val="24"/>
                <w:lang w:val="zh-CN" w:eastAsia="zh-CN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0" w:hRule="atLeast"/>
        </w:trPr>
        <w:tc>
          <w:tcPr>
            <w:tcW w:w="493" w:type="pct"/>
            <w:vMerge w:val="continue"/>
            <w:vAlign w:val="center"/>
          </w:tcPr>
          <w:p>
            <w:pPr>
              <w:pStyle w:val="10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050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实训准备（课前3天）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  <w:t>学生分成专业学习小组和裁判组</w:t>
            </w:r>
          </w:p>
        </w:tc>
        <w:tc>
          <w:tcPr>
            <w:tcW w:w="1209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安排分组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引导学生报名，分为北汽1、2组，比亚迪3、4组，裁判组共5组，每组5名学生。对报名的裁判在智慧课堂发起投票，选排名前五的为裁判组。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</w:p>
        </w:tc>
        <w:tc>
          <w:tcPr>
            <w:tcW w:w="1155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分组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在班委和教师的指导下，分为5组。在智慧课堂投票，每人投5票。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2253615" cy="1241425"/>
                  <wp:effectExtent l="0" t="0" r="13335" b="1587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767" t="10832" b="22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为课堂实训做准备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" w:hRule="atLeast"/>
        </w:trPr>
        <w:tc>
          <w:tcPr>
            <w:tcW w:w="493" w:type="pct"/>
            <w:vMerge w:val="continue"/>
            <w:vAlign w:val="center"/>
          </w:tcPr>
          <w:p>
            <w:pPr>
              <w:pStyle w:val="10"/>
              <w:jc w:val="center"/>
              <w:rPr>
                <w:b/>
                <w:sz w:val="24"/>
              </w:rPr>
            </w:pPr>
          </w:p>
        </w:tc>
        <w:tc>
          <w:tcPr>
            <w:tcW w:w="1050" w:type="pct"/>
            <w:vMerge w:val="restart"/>
            <w:tcBorders>
              <w:top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预习（课前2天）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  <w:t>预习北汽EV450和比亚迪秦PLUS的电路与维修资料</w:t>
            </w:r>
          </w:p>
        </w:tc>
        <w:tc>
          <w:tcPr>
            <w:tcW w:w="1209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发布任务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1.利用智慧课堂发布北汽EV450和比亚迪秦PLUS的电路与维修资料。</w:t>
            </w:r>
          </w:p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1970405" cy="1772920"/>
                  <wp:effectExtent l="9525" t="9525" r="20320" b="2730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6947" r="15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772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2.北汽1、2组同学预习北汽EV450的电路与维修资料；比亚迪3、4组的同学预习比亚迪秦PLUS的电路与维修资料。</w:t>
            </w:r>
          </w:p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3.画出整车控制器的电路，并在智慧课堂上传。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查看任务</w:t>
            </w:r>
          </w:p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各组上传的电路图情况。</w:t>
            </w:r>
          </w:p>
        </w:tc>
        <w:tc>
          <w:tcPr>
            <w:tcW w:w="1155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领取与完成任务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color w:val="0000FF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FF"/>
                <w:sz w:val="24"/>
                <w:lang w:val="en-US" w:eastAsia="zh-CN"/>
              </w:rPr>
              <w:t>1查看智慧课堂上发布的预习资料。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color w:val="0000FF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FF"/>
                <w:sz w:val="24"/>
                <w:lang w:val="en-US" w:eastAsia="zh-CN"/>
              </w:rPr>
              <w:t>2.根据分组进行有针对的预习。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color w:val="0000FF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FF"/>
                <w:sz w:val="24"/>
                <w:lang w:val="en-US" w:eastAsia="zh-CN"/>
              </w:rPr>
              <w:t>3.上传各组画出的电路图。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1773555" cy="3828415"/>
                  <wp:effectExtent l="9525" t="9525" r="26670" b="1016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4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38284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1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zh-CN" w:eastAsia="zh-CN"/>
              </w:rPr>
              <w:t>培养学生的自学</w:t>
            </w:r>
            <w:r>
              <w:rPr>
                <w:rFonts w:hint="eastAsia" w:cs="Times New Roman"/>
                <w:sz w:val="24"/>
                <w:lang w:val="en-US" w:eastAsia="zh-CN"/>
              </w:rPr>
              <w:t>能力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zh-CN" w:eastAsia="zh-CN"/>
              </w:rPr>
              <w:t>掌握学生的自学情况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493" w:type="pct"/>
            <w:vMerge w:val="continue"/>
            <w:vAlign w:val="center"/>
          </w:tcPr>
          <w:p>
            <w:pPr>
              <w:pStyle w:val="10"/>
              <w:jc w:val="center"/>
              <w:rPr>
                <w:b/>
                <w:sz w:val="24"/>
              </w:rPr>
            </w:pPr>
          </w:p>
        </w:tc>
        <w:tc>
          <w:tcPr>
            <w:tcW w:w="1050" w:type="pct"/>
            <w:vMerge w:val="continue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</w:pPr>
          </w:p>
        </w:tc>
        <w:tc>
          <w:tcPr>
            <w:tcW w:w="1209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  <w:t>培训裁判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培训裁判在实训设备和车辆上设置故障，恢复故障和互相评分。</w:t>
            </w:r>
          </w:p>
        </w:tc>
        <w:tc>
          <w:tcPr>
            <w:tcW w:w="1155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  <w:t>裁判参与培训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裁判组学习设置故障，恢复故障和评分，并录制一个操作视频。</w:t>
            </w:r>
          </w:p>
        </w:tc>
        <w:tc>
          <w:tcPr>
            <w:tcW w:w="1091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培养学生的高位思考与决策能力</w:t>
            </w:r>
          </w:p>
        </w:tc>
      </w:tr>
    </w:tbl>
    <w:p>
      <w:pPr>
        <w:rPr>
          <w:sz w:val="24"/>
        </w:rPr>
      </w:pPr>
      <w:r>
        <w:rPr>
          <w:sz w:val="24"/>
        </w:rPr>
        <w:br w:type="page"/>
      </w:r>
    </w:p>
    <w:tbl>
      <w:tblPr>
        <w:tblStyle w:val="5"/>
        <w:tblW w:w="4851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2631"/>
        <w:gridCol w:w="607"/>
        <w:gridCol w:w="3495"/>
        <w:gridCol w:w="55"/>
        <w:gridCol w:w="3227"/>
        <w:gridCol w:w="164"/>
        <w:gridCol w:w="325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 w:hRule="atLeast"/>
        </w:trPr>
        <w:tc>
          <w:tcPr>
            <w:tcW w:w="494" w:type="pct"/>
            <w:shd w:val="clear" w:color="auto" w:fill="006FC0"/>
          </w:tcPr>
          <w:p>
            <w:pPr>
              <w:pStyle w:val="10"/>
              <w:spacing w:line="431" w:lineRule="exact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环节</w:t>
            </w:r>
          </w:p>
        </w:tc>
        <w:tc>
          <w:tcPr>
            <w:tcW w:w="1085" w:type="pct"/>
            <w:gridSpan w:val="2"/>
            <w:shd w:val="clear" w:color="auto" w:fill="006FC0"/>
          </w:tcPr>
          <w:p>
            <w:pPr>
              <w:pStyle w:val="10"/>
              <w:spacing w:line="431" w:lineRule="exact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内容</w:t>
            </w:r>
          </w:p>
        </w:tc>
        <w:tc>
          <w:tcPr>
            <w:tcW w:w="1171" w:type="pct"/>
            <w:shd w:val="clear" w:color="auto" w:fill="006FC0"/>
          </w:tcPr>
          <w:p>
            <w:pPr>
              <w:pStyle w:val="10"/>
              <w:spacing w:line="431" w:lineRule="exact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教师</w:t>
            </w:r>
          </w:p>
          <w:p>
            <w:pPr>
              <w:pStyle w:val="10"/>
              <w:spacing w:before="52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155" w:type="pct"/>
            <w:gridSpan w:val="3"/>
            <w:shd w:val="clear" w:color="auto" w:fill="006FC0"/>
          </w:tcPr>
          <w:p>
            <w:pPr>
              <w:pStyle w:val="10"/>
              <w:spacing w:line="431" w:lineRule="exact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学生</w:t>
            </w:r>
          </w:p>
          <w:p>
            <w:pPr>
              <w:pStyle w:val="10"/>
              <w:spacing w:before="52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091" w:type="pct"/>
            <w:shd w:val="clear" w:color="auto" w:fill="006FC0"/>
          </w:tcPr>
          <w:p>
            <w:pPr>
              <w:pStyle w:val="10"/>
              <w:spacing w:line="431" w:lineRule="exact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设计</w:t>
            </w:r>
          </w:p>
          <w:p>
            <w:pPr>
              <w:pStyle w:val="10"/>
              <w:spacing w:before="52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意图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 w:hRule="atLeast"/>
        </w:trPr>
        <w:tc>
          <w:tcPr>
            <w:tcW w:w="494" w:type="pct"/>
            <w:vMerge w:val="restart"/>
            <w:vAlign w:val="center"/>
          </w:tcPr>
          <w:p>
            <w:pPr>
              <w:pStyle w:val="10"/>
              <w:ind w:left="126" w:firstLine="240" w:firstLineChars="100"/>
              <w:jc w:val="center"/>
              <w:rPr>
                <w:b/>
                <w:sz w:val="24"/>
              </w:rPr>
            </w:pPr>
            <w:r>
              <w:rPr>
                <w:rFonts w:ascii="Times New Roman" w:eastAsia="Times New Roman"/>
                <w:b/>
                <w:sz w:val="24"/>
              </w:rPr>
              <w:t>1.</w:t>
            </w:r>
            <w:r>
              <w:rPr>
                <w:rFonts w:ascii="Times New Roman" w:eastAsia="Times New Roman"/>
                <w:b/>
                <w:spacing w:val="59"/>
                <w:sz w:val="24"/>
              </w:rPr>
              <w:t xml:space="preserve"> </w:t>
            </w:r>
            <w:r>
              <w:rPr>
                <w:rFonts w:hint="eastAsia" w:ascii="Times New Roman"/>
                <w:b/>
                <w:spacing w:val="59"/>
                <w:sz w:val="24"/>
                <w:lang w:eastAsia="zh-CN"/>
              </w:rPr>
              <w:t>导入</w:t>
            </w:r>
          </w:p>
          <w:p>
            <w:pPr>
              <w:pStyle w:val="10"/>
              <w:jc w:val="center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5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</w:tc>
        <w:tc>
          <w:tcPr>
            <w:tcW w:w="1085" w:type="pct"/>
            <w:gridSpan w:val="2"/>
            <w:vMerge w:val="restar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jc w:val="center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真实案例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920875" cy="944245"/>
                  <wp:effectExtent l="0" t="0" r="3175" b="8255"/>
                  <wp:docPr id="17" name="图片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9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vAlign w:val="top"/>
          </w:tcPr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播放汽车故障案例视频</w:t>
            </w:r>
          </w:p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播放学生课前录制的比亚迪秦高压无法上电的故障视频。</w:t>
            </w:r>
          </w:p>
          <w:p>
            <w:pPr>
              <w:spacing w:line="360" w:lineRule="auto"/>
              <w:ind w:left="0" w:leftChars="0" w:right="0" w:rightChars="0"/>
              <w:rPr>
                <w:rFonts w:hint="default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</w:p>
        </w:tc>
        <w:tc>
          <w:tcPr>
            <w:tcW w:w="1155" w:type="pct"/>
            <w:gridSpan w:val="3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观看视频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观看案例视频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</w:p>
        </w:tc>
        <w:tc>
          <w:tcPr>
            <w:tcW w:w="1091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宋体" w:hAnsi="宋体" w:eastAsia="宋体" w:cs="Times New Roman"/>
                <w:sz w:val="24"/>
                <w:szCs w:val="22"/>
                <w:lang w:val="zh-CN" w:eastAsia="zh-CN" w:bidi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创设任务情境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2" w:hRule="atLeast"/>
        </w:trPr>
        <w:tc>
          <w:tcPr>
            <w:tcW w:w="494" w:type="pct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pStyle w:val="10"/>
              <w:jc w:val="center"/>
              <w:rPr>
                <w:b/>
                <w:sz w:val="24"/>
              </w:rPr>
            </w:pPr>
          </w:p>
        </w:tc>
        <w:tc>
          <w:tcPr>
            <w:tcW w:w="1085" w:type="pct"/>
            <w:gridSpan w:val="2"/>
            <w:vMerge w:val="continue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171" w:type="pct"/>
            <w:tcBorders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启发案例思考</w:t>
            </w:r>
          </w:p>
          <w:p>
            <w:pPr>
              <w:spacing w:line="360" w:lineRule="auto"/>
              <w:ind w:left="0" w:leftChars="0" w:right="0" w:rightChars="0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提问北汽组1名学生：对北汽有了一定了解了，有没有遇到过类似的情况？该怎么样解决？</w:t>
            </w:r>
          </w:p>
          <w:p>
            <w:pPr>
              <w:spacing w:line="360" w:lineRule="auto"/>
              <w:ind w:left="0" w:leftChars="0" w:right="0" w:rightChars="0"/>
              <w:rPr>
                <w:rFonts w:hint="eastAsia" w:cs="Times New Roman"/>
                <w:sz w:val="24"/>
                <w:lang w:val="en-US" w:eastAsia="zh-CN"/>
              </w:rPr>
            </w:pPr>
          </w:p>
        </w:tc>
        <w:tc>
          <w:tcPr>
            <w:tcW w:w="1155" w:type="pct"/>
            <w:gridSpan w:val="3"/>
            <w:tcBorders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思考与回答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091" w:type="pct"/>
            <w:tcBorders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调动学生主动思考，培养学生表达观点的能力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8" w:hRule="atLeast"/>
        </w:trPr>
        <w:tc>
          <w:tcPr>
            <w:tcW w:w="494" w:type="pct"/>
            <w:tcBorders>
              <w:top w:val="single" w:color="auto" w:sz="4" w:space="0"/>
            </w:tcBorders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2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eastAsia="zh-CN"/>
              </w:rPr>
              <w:t>资讯</w:t>
            </w:r>
          </w:p>
          <w:p>
            <w:pPr>
              <w:pStyle w:val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15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</w:tc>
        <w:tc>
          <w:tcPr>
            <w:tcW w:w="1085" w:type="pct"/>
            <w:gridSpan w:val="2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学习目标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drawing>
                <wp:inline distT="0" distB="0" distL="114300" distR="114300">
                  <wp:extent cx="2086610" cy="1164590"/>
                  <wp:effectExtent l="0" t="0" r="8890" b="1651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明确学习目标</w:t>
            </w:r>
          </w:p>
          <w:p>
            <w:pPr>
              <w:spacing w:line="360" w:lineRule="auto"/>
              <w:rPr>
                <w:rFonts w:hint="eastAsia" w:cs="Times New Roman"/>
                <w:color w:val="0000FF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由真</w:t>
            </w:r>
            <w:r>
              <w:rPr>
                <w:rFonts w:hint="eastAsia" w:cs="Times New Roman"/>
                <w:color w:val="0000FF"/>
                <w:sz w:val="24"/>
                <w:lang w:val="en-US" w:eastAsia="zh-CN"/>
              </w:rPr>
              <w:t>实案例引出本节课教学目标：1.比亚迪秦高压上电过程。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hint="eastAsia" w:cs="Times New Roman"/>
                <w:color w:val="0000FF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FF"/>
                <w:sz w:val="24"/>
                <w:lang w:val="en-US" w:eastAsia="zh-CN"/>
              </w:rPr>
              <w:t>整车控制器电路图。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0" w:rightChars="0"/>
              <w:rPr>
                <w:rFonts w:hint="eastAsia" w:cs="Times New Roman"/>
                <w:color w:val="0000FF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FF"/>
                <w:sz w:val="24"/>
                <w:lang w:val="en-US" w:eastAsia="zh-CN"/>
              </w:rPr>
              <w:t>3.整车控制器高压不上电故障诊断。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right="0" w:rightChars="0"/>
              <w:rPr>
                <w:rFonts w:hint="default" w:cs="Times New Roman"/>
                <w:color w:val="0000FF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FF"/>
                <w:sz w:val="24"/>
                <w:lang w:val="en-US" w:eastAsia="zh-CN"/>
              </w:rPr>
              <w:t>4.团队协作，职业素养。</w:t>
            </w:r>
          </w:p>
          <w:p>
            <w:pPr>
              <w:spacing w:line="360" w:lineRule="auto"/>
              <w:ind w:left="0" w:leftChars="0" w:right="0" w:rightChars="0"/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</w:p>
        </w:tc>
        <w:tc>
          <w:tcPr>
            <w:tcW w:w="1155" w:type="pct"/>
            <w:gridSpan w:val="3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</w:p>
        </w:tc>
        <w:tc>
          <w:tcPr>
            <w:tcW w:w="1091" w:type="pct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确立课堂学习目标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 w:hRule="atLeast"/>
        </w:trPr>
        <w:tc>
          <w:tcPr>
            <w:tcW w:w="494" w:type="pct"/>
            <w:shd w:val="clear" w:color="auto" w:fill="006FC0"/>
          </w:tcPr>
          <w:p>
            <w:pPr>
              <w:pStyle w:val="10"/>
              <w:spacing w:line="431" w:lineRule="exact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环节</w:t>
            </w:r>
          </w:p>
        </w:tc>
        <w:tc>
          <w:tcPr>
            <w:tcW w:w="1085" w:type="pct"/>
            <w:gridSpan w:val="2"/>
            <w:shd w:val="clear" w:color="auto" w:fill="006FC0"/>
          </w:tcPr>
          <w:p>
            <w:pPr>
              <w:pStyle w:val="10"/>
              <w:spacing w:line="431" w:lineRule="exact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内容</w:t>
            </w:r>
          </w:p>
        </w:tc>
        <w:tc>
          <w:tcPr>
            <w:tcW w:w="1171" w:type="pct"/>
            <w:shd w:val="clear" w:color="auto" w:fill="006FC0"/>
          </w:tcPr>
          <w:p>
            <w:pPr>
              <w:pStyle w:val="10"/>
              <w:spacing w:line="431" w:lineRule="exact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教师</w:t>
            </w:r>
          </w:p>
          <w:p>
            <w:pPr>
              <w:pStyle w:val="10"/>
              <w:spacing w:before="52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155" w:type="pct"/>
            <w:gridSpan w:val="3"/>
            <w:shd w:val="clear" w:color="auto" w:fill="006FC0"/>
          </w:tcPr>
          <w:p>
            <w:pPr>
              <w:pStyle w:val="10"/>
              <w:spacing w:line="431" w:lineRule="exact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学生</w:t>
            </w:r>
          </w:p>
          <w:p>
            <w:pPr>
              <w:pStyle w:val="10"/>
              <w:spacing w:before="52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091" w:type="pct"/>
            <w:shd w:val="clear" w:color="auto" w:fill="006FC0"/>
          </w:tcPr>
          <w:p>
            <w:pPr>
              <w:pStyle w:val="10"/>
              <w:spacing w:line="431" w:lineRule="exact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设计</w:t>
            </w:r>
          </w:p>
          <w:p>
            <w:pPr>
              <w:pStyle w:val="10"/>
              <w:spacing w:before="52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意图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5" w:hRule="atLeast"/>
        </w:trPr>
        <w:tc>
          <w:tcPr>
            <w:tcW w:w="494" w:type="pct"/>
            <w:vMerge w:val="restar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2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eastAsia="zh-CN"/>
              </w:rPr>
              <w:t>资讯</w:t>
            </w:r>
          </w:p>
          <w:p>
            <w:pPr>
              <w:pStyle w:val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15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1085" w:type="pct"/>
            <w:gridSpan w:val="2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知识回顾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3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szCs w:val="22"/>
                <w:lang w:val="en-US" w:eastAsia="zh-CN" w:bidi="zh-CN"/>
              </w:rPr>
              <w:t>北汽EV450的高压上电流程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  <w:r>
              <w:drawing>
                <wp:inline distT="0" distB="0" distL="114300" distR="114300">
                  <wp:extent cx="2033270" cy="896620"/>
                  <wp:effectExtent l="184150" t="135255" r="240030" b="206375"/>
                  <wp:docPr id="15" name="图片 4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896620"/>
                          </a:xfrm>
                          <a:prstGeom prst="rect">
                            <a:avLst/>
                          </a:prstGeom>
                          <a:ln w="57150" cap="sq" cmpd="dbl">
                            <a:gradFill>
                              <a:gsLst>
                                <a:gs pos="0">
                                  <a:srgbClr val="1D8FCE"/>
                                </a:gs>
                                <a:gs pos="100000">
                                  <a:srgbClr val="1D8FCE"/>
                                </a:gs>
                                <a:gs pos="55000">
                                  <a:srgbClr val="32CA8E"/>
                                </a:gs>
                              </a:gsLst>
                              <a:lin ang="5400000" scaled="1"/>
                            </a:gradFill>
                            <a:prstDash val="sysDot"/>
                            <a:round/>
                          </a:ln>
                          <a:effectLst>
                            <a:outerShdw blurRad="190500" dist="25400" dir="5400000" algn="t" rotWithShape="0">
                              <a:prstClr val="black">
                                <a:alpha val="38000"/>
                              </a:prstClr>
                            </a:outerShdw>
                            <a:reflection blurRad="50800" stA="40000" endA="300" endPos="20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pct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知识讲授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讲授北汽EV450的高压上电过程。</w:t>
            </w:r>
          </w:p>
          <w:p>
            <w:pPr>
              <w:spacing w:line="360" w:lineRule="auto"/>
              <w:ind w:left="0" w:leftChars="0" w:right="0" w:rightChars="0" w:firstLine="440" w:firstLineChars="200"/>
            </w:pPr>
            <w:r>
              <w:rPr>
                <w:rFonts w:hint="eastAsia"/>
                <w:lang w:val="en-US" w:eastAsia="zh-CN"/>
              </w:rPr>
              <w:t>点火开关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BCM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天线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钥匙（闪烁）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BCM（方向盘解锁，仪表点亮）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VCU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BMS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主负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预充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主正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预充断开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BMS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VCU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仪表ready灯点亮</w:t>
            </w:r>
          </w:p>
        </w:tc>
        <w:tc>
          <w:tcPr>
            <w:tcW w:w="1155" w:type="pct"/>
            <w:gridSpan w:val="3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听取知识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听教师讲授，回顾北汽EV450的高压上电过程。</w:t>
            </w:r>
          </w:p>
        </w:tc>
        <w:tc>
          <w:tcPr>
            <w:tcW w:w="1091" w:type="pct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温故而知新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494" w:type="pct"/>
            <w:vMerge w:val="continue"/>
            <w:vAlign w:val="center"/>
          </w:tcPr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1085" w:type="pct"/>
            <w:gridSpan w:val="2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新知引入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3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szCs w:val="22"/>
                <w:lang w:val="en-US" w:eastAsia="zh-CN" w:bidi="zh-CN"/>
              </w:rPr>
              <w:t>比亚迪秦的高压上电流程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2108200" cy="1383665"/>
                  <wp:effectExtent l="0" t="0" r="6350" b="6985"/>
                  <wp:docPr id="13" name="图片 5" descr="第3页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第3页-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</w:p>
        </w:tc>
        <w:tc>
          <w:tcPr>
            <w:tcW w:w="1171" w:type="pct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展示比亚迪秦的高压上电过程图片，开启智慧课堂活动，引导思考和选择答案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2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比亚迪秦高压上电过程与北汽EV450有什么区别？</w:t>
            </w:r>
          </w:p>
          <w:p>
            <w:pPr>
              <w:spacing w:line="360" w:lineRule="auto"/>
            </w:pPr>
            <w:r>
              <w:drawing>
                <wp:inline distT="0" distB="0" distL="114300" distR="114300">
                  <wp:extent cx="1802765" cy="1183640"/>
                  <wp:effectExtent l="0" t="0" r="6985" b="1651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0561" t="26286" r="49769" b="27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ind w:left="0" w:leftChars="0" w:right="0" w:rightChars="0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分析答案，讲解正确知识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spacing w:line="360" w:lineRule="auto"/>
              <w:ind w:left="0" w:leftChars="0" w:right="0" w:rightChars="0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drawing>
                <wp:inline distT="0" distB="0" distL="114300" distR="114300">
                  <wp:extent cx="2204085" cy="1516380"/>
                  <wp:effectExtent l="0" t="0" r="5715" b="762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gridSpan w:val="3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参与智慧课堂活动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用手机选出自己认为正确的答案。</w:t>
            </w:r>
          </w:p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听取正确讲解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听取教师的评价和指正，修正理解错误的地方，获得正确的认识</w:t>
            </w:r>
          </w:p>
        </w:tc>
        <w:tc>
          <w:tcPr>
            <w:tcW w:w="1091" w:type="pct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培养对同一类问题的学习迁移能力，培养举一反三的学习能力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教学方法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szCs w:val="22"/>
                <w:lang w:val="en-US" w:eastAsia="zh-CN" w:bidi="zh-CN"/>
              </w:rPr>
              <w:t>应用</w:t>
            </w:r>
            <w:r>
              <w:rPr>
                <w:rFonts w:hint="eastAsia" w:ascii="宋体" w:hAnsi="宋体" w:eastAsia="宋体" w:cs="Times New Roman"/>
                <w:b/>
                <w:bCs/>
                <w:sz w:val="24"/>
                <w:szCs w:val="22"/>
                <w:lang w:val="en-US" w:eastAsia="zh-CN" w:bidi="zh-CN"/>
              </w:rPr>
              <w:t>类比法</w:t>
            </w:r>
            <w:r>
              <w:rPr>
                <w:rFonts w:hint="eastAsia" w:cs="Times New Roman"/>
                <w:b/>
                <w:bCs/>
                <w:sz w:val="24"/>
                <w:szCs w:val="22"/>
                <w:lang w:val="en-US" w:eastAsia="zh-CN" w:bidi="zh-CN"/>
              </w:rPr>
              <w:t>、探究法</w:t>
            </w:r>
            <w:r>
              <w:rPr>
                <w:rFonts w:hint="eastAsia" w:cs="Times New Roman"/>
                <w:sz w:val="24"/>
                <w:lang w:val="en-US" w:eastAsia="zh-CN"/>
              </w:rPr>
              <w:t>，引导学生探索新旧知识的关联和不同，从而掌握新知识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</w:trPr>
        <w:tc>
          <w:tcPr>
            <w:tcW w:w="494" w:type="pct"/>
            <w:vMerge w:val="restar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2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eastAsia="zh-CN"/>
              </w:rPr>
              <w:t>资讯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15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1085" w:type="pct"/>
            <w:gridSpan w:val="2"/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教学重点1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6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EV450的整车控制器电路图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171" w:type="pct"/>
            <w:vAlign w:val="top"/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展示学生所画电路图</w:t>
            </w:r>
          </w:p>
          <w:p>
            <w:pPr>
              <w:spacing w:line="360" w:lineRule="auto"/>
              <w:ind w:left="0" w:leftChars="0" w:right="0" w:rightChars="0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展示学生课前上传在智慧课堂的整车控制器电路图。</w:t>
            </w:r>
          </w:p>
          <w:p>
            <w:pPr>
              <w:spacing w:line="360" w:lineRule="auto"/>
              <w:ind w:left="0" w:leftChars="0" w:right="0" w:rightChars="0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组织学生讲解北汽EV450的整车控制器电路图（具体见图和讲解要点）</w:t>
            </w:r>
          </w:p>
          <w:p>
            <w:pPr>
              <w:spacing w:line="360" w:lineRule="auto"/>
              <w:ind w:left="0" w:leftChars="0" w:right="0" w:rightChars="0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找1名北汽组同学来讲北汽整车控制器电路图。</w:t>
            </w:r>
          </w:p>
        </w:tc>
        <w:tc>
          <w:tcPr>
            <w:tcW w:w="1155" w:type="pct"/>
            <w:gridSpan w:val="3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观看课前所画电路图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听取讲解</w:t>
            </w:r>
          </w:p>
        </w:tc>
        <w:tc>
          <w:tcPr>
            <w:tcW w:w="1091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  <w:r>
              <w:rPr>
                <w:rFonts w:hint="eastAsia" w:cs="Times New Roman"/>
                <w:sz w:val="24"/>
                <w:lang w:val="zh-CN" w:eastAsia="zh-CN"/>
              </w:rPr>
              <w:t>引入教学重点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  <w:r>
              <w:rPr>
                <w:rFonts w:hint="eastAsia" w:cs="Times New Roman"/>
                <w:sz w:val="24"/>
                <w:lang w:val="zh-CN" w:eastAsia="zh-CN"/>
              </w:rPr>
              <w:t>重点讲解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5" w:hRule="atLeast"/>
        </w:trPr>
        <w:tc>
          <w:tcPr>
            <w:tcW w:w="494" w:type="pct"/>
            <w:vMerge w:val="continue"/>
            <w:vAlign w:val="center"/>
          </w:tcPr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4505" w:type="pct"/>
            <w:gridSpan w:val="7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6228715</wp:posOffset>
                      </wp:positionH>
                      <wp:positionV relativeFrom="paragraph">
                        <wp:posOffset>102870</wp:posOffset>
                      </wp:positionV>
                      <wp:extent cx="2114550" cy="3086100"/>
                      <wp:effectExtent l="4445" t="4445" r="14605" b="1460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7705090" y="3481705"/>
                                <a:ext cx="2114550" cy="3086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讲解要点：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ind w:right="0" w:rightChars="0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1.总体认识EV450整车控制器电路的构成：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right="0" w:rightChars="0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VCU自身极其电源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right="0" w:rightChars="0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输入信号：制动信号、加速踏板位置信号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right="0" w:rightChars="0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输出信号：电机水泵、冷却水泵继电器、高低速风扇继电器、冷却风扇、变速器控制器唤醒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ind w:right="0" w:rightChars="0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90.45pt;margin-top:8.1pt;height:243pt;width:166.5pt;z-index:251662336;mso-width-relative:page;mso-height-relative:page;" fillcolor="#FFFFFF [3201]" filled="t" stroked="t" coordsize="21600,21600" o:gfxdata="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5RAfu1wAAAAsBAAAPAAAAAAAAAAEAIAAAACIAAABkcnMvZG93bnJldi54bWxQSwECFAAU&#10;AAAACACHTuJAtEJtp2QCAADEBAAADgAAAAAAAAABACAAAAAm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讲解要点：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right="0" w:righ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1.总体认识EV450整车控制器电路的构成：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right="0" w:righ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VCU自身极其电源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right="0" w:righ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输入信号：制动信号、加速踏板位置信号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right="0" w:righ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输出信号：电机水泵、冷却水泵继电器、高低速风扇继电器、冷却风扇、变速器控制器唤醒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right="0" w:right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5928360" cy="3196590"/>
                  <wp:effectExtent l="0" t="0" r="15240" b="3810"/>
                  <wp:docPr id="32" name="图片 32" descr="E:\SVN\公司图库\吉利EV450\整车图\整车电路图1.jpg整车电路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E:\SVN\公司图库\吉利EV450\整车图\整车电路图1.jpg整车电路图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360" cy="319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5" w:hRule="atLeast"/>
        </w:trPr>
        <w:tc>
          <w:tcPr>
            <w:tcW w:w="494" w:type="pct"/>
            <w:vAlign w:val="center"/>
          </w:tcPr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4505" w:type="pct"/>
            <w:gridSpan w:val="7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6381115</wp:posOffset>
                      </wp:positionH>
                      <wp:positionV relativeFrom="paragraph">
                        <wp:posOffset>147955</wp:posOffset>
                      </wp:positionV>
                      <wp:extent cx="2019935" cy="3028950"/>
                      <wp:effectExtent l="4445" t="4445" r="13970" b="1460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9935" cy="3028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t>讲解要点：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ind w:right="0" w:rightChars="0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2.总体认识EV450整车控制器电路的构成：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ind w:right="0" w:rightChars="0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（1）输入信号：点火信号、P档位置信号、高压互锁输入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ind w:right="0" w:rightChars="0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（2）输出信号：电机控制器唤醒、高压互锁输出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ind w:right="0" w:rightChars="0"/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（3）CAN线。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ind w:right="0" w:rightChars="0"/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02.45pt;margin-top:11.65pt;height:238.5pt;width:159.05pt;z-index:251663360;mso-width-relative:page;mso-height-relative:page;" fillcolor="#FFFFFF [3201]" filled="t" stroked="t" coordsize="21600,21600" o:gfxdata="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6dWCtYA&#10;AAAMAQAADwAAAAAAAAABACAAAAAiAAAAZHJzL2Rvd25yZXYueG1sUEsBAhQAFAAAAAgAh07iQBHH&#10;835aAgAAuAQAAA4AAAAAAAAAAQAgAAAAJQEAAGRycy9lMm9Eb2MueG1sUEsFBgAAAAAGAAYAWQEA&#10;APE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讲解要点：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right="0" w:righ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2.总体认识EV450整车控制器电路的构成：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right="0" w:righ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（1）输入信号：点火信号、P档位置信号、高压互锁输入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right="0" w:righ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（2）输出信号：电机控制器唤醒、高压互锁输出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right="0" w:right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（3）CAN线。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right="0" w:rightChars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6152515" cy="3378200"/>
                  <wp:effectExtent l="0" t="0" r="635" b="12700"/>
                  <wp:docPr id="162" name="图片 162" descr="E:\SVN\公司图库\吉利EV450\整车图\整车电路图2.jpg整车电路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 descr="E:\SVN\公司图库\吉利EV450\整车图\整车电路图2.jpg整车电路图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5" w:hRule="atLeast"/>
        </w:trPr>
        <w:tc>
          <w:tcPr>
            <w:tcW w:w="494" w:type="pc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2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eastAsia="zh-CN"/>
              </w:rPr>
              <w:t>资讯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15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882" w:type="pct"/>
            <w:tcBorders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电路分析</w:t>
            </w:r>
          </w:p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zh-CN"/>
              </w:rPr>
              <w:t>VCU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影响高压上电的部分：</w:t>
            </w:r>
          </w:p>
          <w:p>
            <w:pPr>
              <w:numPr>
                <w:ilvl w:val="0"/>
                <w:numId w:val="2"/>
              </w:numPr>
              <w:ind w:right="0" w:righ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VCU自身极其电源</w:t>
            </w:r>
          </w:p>
          <w:p>
            <w:pPr>
              <w:numPr>
                <w:ilvl w:val="0"/>
                <w:numId w:val="2"/>
              </w:numPr>
              <w:ind w:right="0" w:righ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输入信号：制动信号、点火信号、P档位置信号、高压互锁输入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输出信号：高压互锁输出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CAN线</w:t>
            </w:r>
          </w:p>
        </w:tc>
        <w:tc>
          <w:tcPr>
            <w:tcW w:w="1393" w:type="pct"/>
            <w:gridSpan w:val="3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组织讨论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组织学生讨论：根据高压上电过程，电路上哪些部分故障会影响高压上电？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提问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请1-2名学生回答讨论的结果。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组织裁判点评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  <w:t>请裁判长对学生的回答给与评价，对回答错误的地方给与指正。</w:t>
            </w:r>
          </w:p>
        </w:tc>
        <w:tc>
          <w:tcPr>
            <w:tcW w:w="1081" w:type="pct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讨论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小组内进行讨论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回答问题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听取裁判点评</w:t>
            </w:r>
          </w:p>
        </w:tc>
        <w:tc>
          <w:tcPr>
            <w:tcW w:w="1147" w:type="pct"/>
            <w:gridSpan w:val="2"/>
            <w:tcBorders>
              <w:left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sz w:val="22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eastAsia="宋体"/>
                <w:sz w:val="22"/>
                <w:lang w:eastAsia="zh-CN"/>
              </w:rPr>
            </w:pPr>
            <w:r>
              <w:rPr>
                <w:rFonts w:hint="eastAsia"/>
                <w:sz w:val="22"/>
                <w:lang w:eastAsia="zh-CN"/>
              </w:rPr>
              <w:t>考查学生对电路的理解程度，对高压上电过程的掌握程度。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</w:trPr>
        <w:tc>
          <w:tcPr>
            <w:tcW w:w="494" w:type="pc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2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eastAsia="zh-CN"/>
              </w:rPr>
              <w:t>资讯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15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882" w:type="pct"/>
            <w:tcBorders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教学重点2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3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比亚迪秦的整车控制器电路图（见下图）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</w:p>
        </w:tc>
        <w:tc>
          <w:tcPr>
            <w:tcW w:w="1393" w:type="pct"/>
            <w:gridSpan w:val="3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展示比亚迪秦的整车控制器电路图</w:t>
            </w:r>
          </w:p>
          <w:p>
            <w:pPr>
              <w:spacing w:line="360" w:lineRule="auto"/>
              <w:ind w:left="0" w:leftChars="0" w:right="0" w:rightChars="0"/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提问1-2名同学：在学习完北汽EV450的VCU电路图之后，再来看比亚迪秦的VCU电路图，影响高压上电的部分有哪些？和北汽有哪些区别？</w:t>
            </w:r>
          </w:p>
        </w:tc>
        <w:tc>
          <w:tcPr>
            <w:tcW w:w="1081" w:type="pct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观看比亚迪秦的电路图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对比北汽EV450与比亚迪秦的电路，回答教师问题。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</w:p>
        </w:tc>
        <w:tc>
          <w:tcPr>
            <w:tcW w:w="1147" w:type="pct"/>
            <w:gridSpan w:val="2"/>
            <w:tcBorders>
              <w:left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通过对比，引入不同车型的电路学习，培养学生举一反三的能力。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宋体" w:hAnsi="宋体" w:eastAsia="宋体" w:cs="Times New Roman"/>
                <w:sz w:val="24"/>
                <w:szCs w:val="22"/>
                <w:lang w:val="zh-CN" w:eastAsia="zh-CN" w:bidi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5" w:hRule="atLeast"/>
        </w:trPr>
        <w:tc>
          <w:tcPr>
            <w:tcW w:w="494" w:type="pc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2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eastAsia="zh-CN"/>
              </w:rPr>
              <w:t>资讯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15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4505" w:type="pct"/>
            <w:gridSpan w:val="7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/>
                <w:sz w:val="22"/>
                <w:lang w:eastAsia="zh-CN"/>
              </w:rPr>
            </w:pPr>
            <w:r>
              <w:drawing>
                <wp:inline distT="0" distB="0" distL="114300" distR="114300">
                  <wp:extent cx="8072120" cy="4040505"/>
                  <wp:effectExtent l="0" t="0" r="5080" b="171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120" cy="40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5" w:hRule="atLeast"/>
        </w:trPr>
        <w:tc>
          <w:tcPr>
            <w:tcW w:w="494" w:type="pc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2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eastAsia="zh-CN"/>
              </w:rPr>
              <w:t>资讯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15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882" w:type="pct"/>
            <w:tcBorders>
              <w:right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VCU常火电源故障诊断流程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2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Chars="0" w:right="0" w:rightChars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找到常火电源保险位置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检测保险两端电压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检测保险电阻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确定保险断路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更换正常保险</w:t>
            </w:r>
            <w:r>
              <w:rPr>
                <w:rFonts w:hint="default" w:ascii="Arial" w:hAnsi="Arial" w:cs="Arial"/>
                <w:lang w:val="en-US" w:eastAsia="zh-CN"/>
              </w:rPr>
              <w:t>→</w:t>
            </w:r>
            <w:r>
              <w:rPr>
                <w:rFonts w:hint="eastAsia" w:ascii="Arial" w:hAnsi="Arial" w:cs="Arial"/>
                <w:lang w:val="en-US" w:eastAsia="zh-CN"/>
              </w:rPr>
              <w:t>验证故障排除</w:t>
            </w:r>
          </w:p>
        </w:tc>
        <w:tc>
          <w:tcPr>
            <w:tcW w:w="1393" w:type="pct"/>
            <w:gridSpan w:val="3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jc w:val="both"/>
              <w:textAlignment w:val="auto"/>
              <w:rPr>
                <w:rFonts w:hint="default" w:cs="Times New Roman"/>
                <w:b/>
                <w:bCs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b/>
                <w:bCs/>
                <w:sz w:val="24"/>
                <w:szCs w:val="22"/>
                <w:lang w:val="en-US" w:eastAsia="zh-CN" w:bidi="zh-CN"/>
              </w:rPr>
              <w:t>播放故障诊断视频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宋体"/>
                <w:sz w:val="24"/>
                <w:szCs w:val="22"/>
                <w:lang w:val="en-US" w:eastAsia="zh-CN" w:bidi="zh-CN"/>
              </w:rPr>
              <w:t>播放裁判组在课前录制的排故视频，展示VCU常火电源故障诊断流程。</w:t>
            </w:r>
          </w:p>
        </w:tc>
        <w:tc>
          <w:tcPr>
            <w:tcW w:w="1081" w:type="pct"/>
            <w:tcBorders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cs="Times New Roman"/>
                <w:b/>
                <w:bCs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b/>
                <w:bCs/>
                <w:sz w:val="24"/>
                <w:szCs w:val="22"/>
                <w:lang w:val="en-US" w:eastAsia="zh-CN" w:bidi="zh-CN"/>
              </w:rPr>
              <w:t>观看故障诊断视频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cs="Times New Roman"/>
                <w:b/>
                <w:bCs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宋体"/>
                <w:sz w:val="24"/>
                <w:szCs w:val="22"/>
                <w:lang w:val="en-US" w:eastAsia="zh-CN" w:bidi="zh-CN"/>
              </w:rPr>
              <w:t>观看视频，了解VCU常火电源故障诊断流程。</w:t>
            </w:r>
          </w:p>
        </w:tc>
        <w:tc>
          <w:tcPr>
            <w:tcW w:w="1147" w:type="pct"/>
            <w:gridSpan w:val="2"/>
            <w:tcBorders>
              <w:left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宋体" w:hAnsi="宋体" w:eastAsia="宋体" w:cs="宋体"/>
                <w:sz w:val="22"/>
                <w:szCs w:val="22"/>
                <w:lang w:val="zh-CN" w:eastAsia="zh-CN" w:bidi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宋体" w:hAnsi="宋体" w:eastAsia="宋体" w:cs="宋体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cs="宋体"/>
                <w:sz w:val="22"/>
                <w:szCs w:val="22"/>
                <w:lang w:val="en-US" w:eastAsia="zh-CN" w:bidi="zh-CN"/>
              </w:rPr>
              <w:t>展示如何在实车上找故障点，为实训做准备。</w:t>
            </w:r>
          </w:p>
        </w:tc>
      </w:tr>
    </w:tbl>
    <w:p>
      <w:pPr>
        <w:pStyle w:val="10"/>
        <w:spacing w:line="431" w:lineRule="exact"/>
        <w:ind w:left="398"/>
        <w:rPr>
          <w:rFonts w:hint="eastAsia" w:ascii="微软雅黑" w:eastAsia="微软雅黑"/>
          <w:b/>
          <w:color w:val="FFFFFF"/>
          <w:sz w:val="24"/>
        </w:rPr>
      </w:pPr>
    </w:p>
    <w:p>
      <w:pPr>
        <w:pStyle w:val="10"/>
        <w:spacing w:line="431" w:lineRule="exact"/>
        <w:ind w:left="398"/>
        <w:rPr>
          <w:rFonts w:hint="eastAsia" w:ascii="微软雅黑" w:eastAsia="微软雅黑"/>
          <w:b/>
          <w:color w:val="FFFFFF"/>
          <w:sz w:val="24"/>
        </w:rPr>
      </w:pPr>
      <w:r>
        <w:rPr>
          <w:rFonts w:hint="eastAsia" w:ascii="微软雅黑" w:eastAsia="微软雅黑"/>
          <w:b/>
          <w:color w:val="FFFFFF"/>
          <w:sz w:val="24"/>
        </w:rPr>
        <w:br w:type="page"/>
      </w:r>
    </w:p>
    <w:tbl>
      <w:tblPr>
        <w:tblStyle w:val="5"/>
        <w:tblW w:w="5106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9"/>
        <w:gridCol w:w="3298"/>
        <w:gridCol w:w="3796"/>
        <w:gridCol w:w="3628"/>
        <w:gridCol w:w="34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493" w:type="pct"/>
            <w:shd w:val="clear" w:color="auto" w:fill="006FC0"/>
          </w:tcPr>
          <w:p>
            <w:pPr>
              <w:pStyle w:val="10"/>
              <w:spacing w:line="431" w:lineRule="exact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环节</w:t>
            </w:r>
          </w:p>
        </w:tc>
        <w:tc>
          <w:tcPr>
            <w:tcW w:w="1050" w:type="pct"/>
            <w:shd w:val="clear" w:color="auto" w:fill="006FC0"/>
          </w:tcPr>
          <w:p>
            <w:pPr>
              <w:pStyle w:val="10"/>
              <w:spacing w:line="431" w:lineRule="exact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内容</w:t>
            </w:r>
          </w:p>
        </w:tc>
        <w:tc>
          <w:tcPr>
            <w:tcW w:w="1209" w:type="pct"/>
            <w:shd w:val="clear" w:color="auto" w:fill="006FC0"/>
          </w:tcPr>
          <w:p>
            <w:pPr>
              <w:pStyle w:val="10"/>
              <w:spacing w:line="431" w:lineRule="exact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教师</w:t>
            </w:r>
          </w:p>
          <w:p>
            <w:pPr>
              <w:pStyle w:val="10"/>
              <w:spacing w:before="52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155" w:type="pct"/>
            <w:shd w:val="clear" w:color="auto" w:fill="006FC0"/>
          </w:tcPr>
          <w:p>
            <w:pPr>
              <w:pStyle w:val="10"/>
              <w:spacing w:line="431" w:lineRule="exact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学生</w:t>
            </w:r>
          </w:p>
          <w:p>
            <w:pPr>
              <w:pStyle w:val="10"/>
              <w:spacing w:before="52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091" w:type="pct"/>
            <w:shd w:val="clear" w:color="auto" w:fill="006FC0"/>
          </w:tcPr>
          <w:p>
            <w:pPr>
              <w:pStyle w:val="10"/>
              <w:spacing w:line="431" w:lineRule="exact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设计</w:t>
            </w:r>
          </w:p>
          <w:p>
            <w:pPr>
              <w:pStyle w:val="10"/>
              <w:spacing w:before="52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意图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4" w:hRule="atLeast"/>
        </w:trPr>
        <w:tc>
          <w:tcPr>
            <w:tcW w:w="493" w:type="pct"/>
            <w:vMerge w:val="restar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3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>实施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20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1050" w:type="pct"/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任务描述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1.四台设备：北汽台架、北汽EV450、两辆比亚迪秦PLUS高压不上电故障排除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2.课堂</w:t>
            </w:r>
            <w:r>
              <w:rPr>
                <w:rFonts w:hint="eastAsia" w:cs="Times New Roman"/>
                <w:b/>
                <w:bCs/>
                <w:sz w:val="24"/>
                <w:lang w:val="en-US" w:eastAsia="zh-CN"/>
              </w:rPr>
              <w:t>头脑风暴</w:t>
            </w:r>
            <w:r>
              <w:rPr>
                <w:rFonts w:hint="eastAsia" w:cs="Times New Roman"/>
                <w:sz w:val="24"/>
                <w:lang w:val="en-US" w:eastAsia="zh-CN"/>
              </w:rPr>
              <w:t>，探讨常见故障案例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pct"/>
            <w:vAlign w:val="top"/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布置任务</w:t>
            </w:r>
          </w:p>
          <w:p>
            <w:pPr>
              <w:spacing w:line="360" w:lineRule="auto"/>
              <w:ind w:left="0" w:leftChars="0" w:right="0" w:rightChars="0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1.安排裁判在裁判长引导下到四台实训设备上设置故障，各组抽两名学生通过实训排故，由裁判评分。</w:t>
            </w:r>
          </w:p>
          <w:p>
            <w:pPr>
              <w:spacing w:line="360" w:lineRule="auto"/>
              <w:ind w:left="0" w:leftChars="0" w:right="0" w:rightChars="0"/>
              <w:rPr>
                <w:rFonts w:hint="default" w:cs="Times New Roman"/>
                <w:sz w:val="24"/>
                <w:lang w:val="en-US" w:eastAsia="zh-CN"/>
              </w:rPr>
            </w:pPr>
          </w:p>
          <w:p>
            <w:pPr>
              <w:spacing w:line="360" w:lineRule="auto"/>
              <w:ind w:left="0" w:leftChars="0" w:right="0" w:rightChars="0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2.安排各组余下同学开展头脑风暴，根据电路图，圈出本组设置的故障，北汽1组和2组互换，比亚迪3组和4组互换，分别由对方排除故障。</w:t>
            </w:r>
          </w:p>
        </w:tc>
        <w:tc>
          <w:tcPr>
            <w:tcW w:w="1155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  <w:t>任务实施准备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1.裁判就位设故，实训学生就位。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2.各小组研究电路图，准备设</w:t>
            </w:r>
            <w:bookmarkStart w:id="2" w:name="_GoBack"/>
            <w:bookmarkEnd w:id="2"/>
            <w:r>
              <w:rPr>
                <w:rFonts w:hint="eastAsia" w:cs="Times New Roman"/>
                <w:sz w:val="24"/>
                <w:lang w:val="en-US" w:eastAsia="zh-CN"/>
              </w:rPr>
              <w:t>故。</w:t>
            </w:r>
          </w:p>
        </w:tc>
        <w:tc>
          <w:tcPr>
            <w:tcW w:w="1091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任务驱动，分组实训</w:t>
            </w:r>
            <w:r>
              <w:rPr>
                <w:rFonts w:hint="eastAsia" w:cs="Times New Roman"/>
                <w:sz w:val="24"/>
                <w:lang w:val="zh-CN" w:eastAsia="zh-CN"/>
              </w:rPr>
              <w:t>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引入技能竞赛和考证规则，提升学生真实体验感，做到</w:t>
            </w:r>
            <w:r>
              <w:rPr>
                <w:rFonts w:hint="eastAsia" w:cs="Times New Roman"/>
                <w:b/>
                <w:bCs/>
                <w:sz w:val="24"/>
                <w:lang w:val="en-US" w:eastAsia="zh-CN"/>
              </w:rPr>
              <w:t>岗课赛证</w:t>
            </w:r>
            <w:r>
              <w:rPr>
                <w:rFonts w:hint="eastAsia" w:cs="Times New Roman"/>
                <w:sz w:val="24"/>
                <w:lang w:val="en-US" w:eastAsia="zh-CN"/>
              </w:rPr>
              <w:t>融通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8" w:hRule="atLeast"/>
        </w:trPr>
        <w:tc>
          <w:tcPr>
            <w:tcW w:w="493" w:type="pct"/>
            <w:vMerge w:val="continue"/>
            <w:vAlign w:val="center"/>
          </w:tcPr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</w:p>
        </w:tc>
        <w:tc>
          <w:tcPr>
            <w:tcW w:w="1050" w:type="pct"/>
            <w:tcBorders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任务实施</w:t>
            </w: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19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1.第一轮实训（10min）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</w:p>
        </w:tc>
        <w:tc>
          <w:tcPr>
            <w:tcW w:w="1209" w:type="pct"/>
            <w:tcBorders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裁判设置故障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裁判可设故障：VCU常电保险断路、VCU点火电源保险断路、钥匙错误、BMS常电保险断路、BMS点火电源保险断路、主继电器损坏。</w:t>
            </w:r>
          </w:p>
        </w:tc>
        <w:tc>
          <w:tcPr>
            <w:tcW w:w="1155" w:type="pct"/>
            <w:tcBorders>
              <w:bottom w:val="single" w:color="auto" w:sz="4" w:space="0"/>
            </w:tcBorders>
            <w:vAlign w:val="top"/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排除故障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实训学生在未知故障前提下，根据故障现象、电路图和诊断工具，分析并找到故障点，并填写工单。</w:t>
            </w:r>
          </w:p>
        </w:tc>
        <w:tc>
          <w:tcPr>
            <w:tcW w:w="1091" w:type="pct"/>
            <w:tcBorders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任务驱动，分组实训</w:t>
            </w:r>
            <w:r>
              <w:rPr>
                <w:rFonts w:hint="eastAsia" w:cs="Times New Roman"/>
                <w:sz w:val="24"/>
                <w:lang w:val="zh-CN" w:eastAsia="zh-CN"/>
              </w:rPr>
              <w:t>，</w:t>
            </w:r>
            <w:r>
              <w:rPr>
                <w:rFonts w:hint="eastAsia" w:cs="Times New Roman"/>
                <w:sz w:val="24"/>
                <w:lang w:val="en-US" w:eastAsia="zh-CN"/>
              </w:rPr>
              <w:t>翻转课堂，提升学生参与度，增强真实体验感。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</w:p>
        </w:tc>
      </w:tr>
    </w:tbl>
    <w:p>
      <w:pPr>
        <w:pStyle w:val="10"/>
        <w:spacing w:line="431" w:lineRule="exact"/>
        <w:ind w:left="398"/>
        <w:rPr>
          <w:rFonts w:hint="eastAsia" w:ascii="微软雅黑" w:eastAsia="微软雅黑"/>
          <w:b/>
          <w:color w:val="FFFFFF"/>
          <w:sz w:val="24"/>
        </w:rPr>
      </w:pPr>
    </w:p>
    <w:tbl>
      <w:tblPr>
        <w:tblStyle w:val="5"/>
        <w:tblW w:w="5118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3"/>
        <w:gridCol w:w="3306"/>
        <w:gridCol w:w="3804"/>
        <w:gridCol w:w="3636"/>
        <w:gridCol w:w="34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493" w:type="pct"/>
            <w:shd w:val="clear" w:color="auto" w:fill="006FC0"/>
          </w:tcPr>
          <w:p>
            <w:pPr>
              <w:pStyle w:val="10"/>
              <w:spacing w:line="431" w:lineRule="exact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环节</w:t>
            </w:r>
          </w:p>
        </w:tc>
        <w:tc>
          <w:tcPr>
            <w:tcW w:w="1050" w:type="pct"/>
            <w:shd w:val="clear" w:color="auto" w:fill="006FC0"/>
          </w:tcPr>
          <w:p>
            <w:pPr>
              <w:pStyle w:val="10"/>
              <w:spacing w:line="431" w:lineRule="exact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内容</w:t>
            </w:r>
          </w:p>
        </w:tc>
        <w:tc>
          <w:tcPr>
            <w:tcW w:w="1209" w:type="pct"/>
            <w:shd w:val="clear" w:color="auto" w:fill="006FC0"/>
          </w:tcPr>
          <w:p>
            <w:pPr>
              <w:pStyle w:val="10"/>
              <w:spacing w:line="431" w:lineRule="exact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教师</w:t>
            </w:r>
          </w:p>
          <w:p>
            <w:pPr>
              <w:pStyle w:val="10"/>
              <w:spacing w:before="52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155" w:type="pct"/>
            <w:shd w:val="clear" w:color="auto" w:fill="006FC0"/>
          </w:tcPr>
          <w:p>
            <w:pPr>
              <w:pStyle w:val="10"/>
              <w:spacing w:line="431" w:lineRule="exact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学生</w:t>
            </w:r>
          </w:p>
          <w:p>
            <w:pPr>
              <w:pStyle w:val="10"/>
              <w:spacing w:before="52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091" w:type="pct"/>
            <w:shd w:val="clear" w:color="auto" w:fill="006FC0"/>
          </w:tcPr>
          <w:p>
            <w:pPr>
              <w:pStyle w:val="10"/>
              <w:spacing w:line="431" w:lineRule="exact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设计</w:t>
            </w:r>
          </w:p>
          <w:p>
            <w:pPr>
              <w:pStyle w:val="10"/>
              <w:spacing w:before="52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意图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0" w:hRule="atLeast"/>
        </w:trPr>
        <w:tc>
          <w:tcPr>
            <w:tcW w:w="493" w:type="pct"/>
            <w:vMerge w:val="restar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3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>实施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20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050" w:type="pct"/>
            <w:vMerge w:val="restar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2.第一轮头脑风暴（10min）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例：故障分析流程：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（1）故障现象：由于VCU高压互锁断路，则VCU不能发上电指令，导致高压不上电。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（2）电路图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drawing>
                <wp:inline distT="0" distB="0" distL="114300" distR="114300">
                  <wp:extent cx="1808480" cy="997585"/>
                  <wp:effectExtent l="31750" t="31750" r="45720" b="37465"/>
                  <wp:docPr id="28" name="图片 2" descr="高压互锁信号（波形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高压互锁信号（波形）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997585"/>
                          </a:xfrm>
                          <a:prstGeom prst="rect">
                            <a:avLst/>
                          </a:prstGeom>
                          <a:ln w="31750" cap="rnd">
                            <a:gradFill>
                              <a:gsLst>
                                <a:gs pos="0">
                                  <a:srgbClr val="1D8FCE"/>
                                </a:gs>
                                <a:gs pos="100000">
                                  <a:srgbClr val="1D8FCE"/>
                                </a:gs>
                                <a:gs pos="55000">
                                  <a:srgbClr val="32CA8E"/>
                                </a:gs>
                              </a:gsLst>
                              <a:lin ang="5400000" scaled="1"/>
                            </a:gradFill>
                            <a:prstDash val="dashDot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诊断仪诊断:高压互锁故障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诊断：用示波器测VCU高压互锁输出端和输入端波形不一致。万用表电阻档测PTC和VCU间高压互锁线路，电阻∞，判断互锁线断路。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更换故障的互锁线路。</w:t>
            </w:r>
          </w:p>
        </w:tc>
        <w:tc>
          <w:tcPr>
            <w:tcW w:w="1209" w:type="pct"/>
          </w:tcPr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组织学生设置故障</w:t>
            </w:r>
          </w:p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组织4个专业小组在电路图上圈出故障点，交给对手组（如图）</w:t>
            </w:r>
          </w:p>
          <w:p>
            <w:pPr>
              <w:spacing w:line="360" w:lineRule="auto"/>
              <w:jc w:val="center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856615</wp:posOffset>
                      </wp:positionV>
                      <wp:extent cx="622300" cy="184150"/>
                      <wp:effectExtent l="9525" t="9525" r="15875" b="15875"/>
                      <wp:wrapNone/>
                      <wp:docPr id="5" name="椭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1841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椭圆 4" o:spid="_x0000_s1026" o:spt="3" type="#_x0000_t3" style="position:absolute;left:0pt;margin-left:77.4pt;margin-top:67.45pt;height:14.5pt;width:49pt;z-index:251661312;v-text-anchor:middle;mso-width-relative:page;mso-height-relative:page;" filled="f" stroked="t" coordsize="21600,21600" o:gfxdata="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nqYdi2AAAAAsB&#10;AAAPAAAAAAAAAAEAIAAAACIAAABkcnMvZG93bnJldi54bWxQSwECFAAUAAAACACHTuJAEZxa8OIB&#10;AACxAwAADgAAAAAAAAABACAAAAAnAQAAZHJzL2Uyb0RvYy54bWxQSwUGAAAAAAYABgBZAQAAewUA&#10;AAAA&#10;">
                      <v:fill on="f" focussize="0,0"/>
                      <v:stroke weight="1.5pt" color="#FF0000 [2404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1808480" cy="997585"/>
                  <wp:effectExtent l="31750" t="31750" r="45720" b="37465"/>
                  <wp:docPr id="27" name="图片 2" descr="高压互锁信号（波形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高压互锁信号（波形）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997585"/>
                          </a:xfrm>
                          <a:prstGeom prst="rect">
                            <a:avLst/>
                          </a:prstGeom>
                          <a:ln w="31750" cap="rnd">
                            <a:gradFill>
                              <a:gsLst>
                                <a:gs pos="0">
                                  <a:srgbClr val="1D8FCE"/>
                                </a:gs>
                                <a:gs pos="100000">
                                  <a:srgbClr val="1D8FCE"/>
                                </a:gs>
                                <a:gs pos="55000">
                                  <a:srgbClr val="32CA8E"/>
                                </a:gs>
                              </a:gsLst>
                              <a:lin ang="5400000" scaled="1"/>
                            </a:gradFill>
                            <a:prstDash val="dashDot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</w:tcPr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纸上故障设置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4个小组在电路图上圈出故障点，交给对手组</w:t>
            </w:r>
          </w:p>
        </w:tc>
        <w:tc>
          <w:tcPr>
            <w:tcW w:w="1091" w:type="pc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充分调动学生思维，训练故障排除能力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8" w:hRule="atLeast"/>
        </w:trPr>
        <w:tc>
          <w:tcPr>
            <w:tcW w:w="493" w:type="pct"/>
            <w:vMerge w:val="continue"/>
            <w:vAlign w:val="center"/>
          </w:tcPr>
          <w:p>
            <w:pPr>
              <w:pStyle w:val="10"/>
              <w:jc w:val="center"/>
              <w:rPr>
                <w:b/>
                <w:sz w:val="24"/>
              </w:rPr>
            </w:pPr>
          </w:p>
        </w:tc>
        <w:tc>
          <w:tcPr>
            <w:tcW w:w="1050" w:type="pct"/>
            <w:vMerge w:val="continue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pct"/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组织排故讨论</w:t>
            </w:r>
          </w:p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引导学生在交换故障后，组内开展讨论</w:t>
            </w:r>
          </w:p>
        </w:tc>
        <w:tc>
          <w:tcPr>
            <w:tcW w:w="1155" w:type="pc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排故讨论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在交换故障后，组内开展讨论</w:t>
            </w:r>
          </w:p>
        </w:tc>
        <w:tc>
          <w:tcPr>
            <w:tcW w:w="1091" w:type="pc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激发思维碰撞，培养团队协作能力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5" w:hRule="atLeast"/>
        </w:trPr>
        <w:tc>
          <w:tcPr>
            <w:tcW w:w="493" w:type="pct"/>
            <w:vMerge w:val="continue"/>
            <w:vAlign w:val="center"/>
          </w:tcPr>
          <w:p>
            <w:pPr>
              <w:pStyle w:val="10"/>
              <w:jc w:val="center"/>
              <w:rPr>
                <w:b/>
                <w:sz w:val="24"/>
              </w:rPr>
            </w:pPr>
          </w:p>
        </w:tc>
        <w:tc>
          <w:tcPr>
            <w:tcW w:w="1050" w:type="pct"/>
            <w:vMerge w:val="continue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pct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组织排故过程分享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1.分别各专业组同学上台分享本组排故过程。</w:t>
            </w:r>
          </w:p>
          <w:p>
            <w:pPr>
              <w:spacing w:line="360" w:lineRule="auto"/>
              <w:ind w:firstLine="480" w:firstLineChars="200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讨论故障包含：高压互锁故障、制动踏板信号故障、VCU功率电源故障、档位信号线故障、VCU的CAN线故障。</w:t>
            </w:r>
          </w:p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2.请设故组同学对排故组点评。</w:t>
            </w:r>
          </w:p>
        </w:tc>
        <w:tc>
          <w:tcPr>
            <w:tcW w:w="1155" w:type="pct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排故过程分享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分享本组排故过程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（1）阐述故障现象；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（2）在黑板上画故障点电路图；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（3）分析诊断仪测得故障码；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（4）诊断；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（5）恢复故障。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2.同学点评</w:t>
            </w:r>
          </w:p>
        </w:tc>
        <w:tc>
          <w:tcPr>
            <w:tcW w:w="1091" w:type="pct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纸上练兵，提升学生推演能力，解决实训设备有限带来的教学难点。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493" w:type="pct"/>
            <w:shd w:val="clear" w:color="auto" w:fill="006FC0"/>
          </w:tcPr>
          <w:p>
            <w:pPr>
              <w:pStyle w:val="10"/>
              <w:spacing w:line="431" w:lineRule="exact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环节</w:t>
            </w:r>
          </w:p>
        </w:tc>
        <w:tc>
          <w:tcPr>
            <w:tcW w:w="1050" w:type="pct"/>
            <w:shd w:val="clear" w:color="auto" w:fill="006FC0"/>
          </w:tcPr>
          <w:p>
            <w:pPr>
              <w:pStyle w:val="10"/>
              <w:spacing w:line="431" w:lineRule="exact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内容</w:t>
            </w:r>
          </w:p>
        </w:tc>
        <w:tc>
          <w:tcPr>
            <w:tcW w:w="1209" w:type="pct"/>
            <w:shd w:val="clear" w:color="auto" w:fill="006FC0"/>
          </w:tcPr>
          <w:p>
            <w:pPr>
              <w:pStyle w:val="10"/>
              <w:spacing w:line="431" w:lineRule="exact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教师</w:t>
            </w:r>
          </w:p>
          <w:p>
            <w:pPr>
              <w:pStyle w:val="10"/>
              <w:spacing w:before="52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155" w:type="pct"/>
            <w:shd w:val="clear" w:color="auto" w:fill="006FC0"/>
          </w:tcPr>
          <w:p>
            <w:pPr>
              <w:pStyle w:val="10"/>
              <w:spacing w:line="431" w:lineRule="exact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学生</w:t>
            </w:r>
          </w:p>
          <w:p>
            <w:pPr>
              <w:pStyle w:val="10"/>
              <w:spacing w:before="52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091" w:type="pct"/>
            <w:shd w:val="clear" w:color="auto" w:fill="006FC0"/>
          </w:tcPr>
          <w:p>
            <w:pPr>
              <w:pStyle w:val="10"/>
              <w:spacing w:line="431" w:lineRule="exact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设计</w:t>
            </w:r>
          </w:p>
          <w:p>
            <w:pPr>
              <w:pStyle w:val="10"/>
              <w:spacing w:before="52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意图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9" w:hRule="atLeast"/>
        </w:trPr>
        <w:tc>
          <w:tcPr>
            <w:tcW w:w="493" w:type="pct"/>
            <w:vMerge w:val="restar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3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>实施</w:t>
            </w:r>
          </w:p>
          <w:p>
            <w:pPr>
              <w:pStyle w:val="10"/>
              <w:ind w:left="0" w:leftChars="0" w:right="0" w:rightChars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20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  <w:p>
            <w:pPr>
              <w:pStyle w:val="10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050" w:type="pct"/>
            <w:vMerge w:val="restar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3.实训分享（5min）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实训学生分享排故过程。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</w:p>
        </w:tc>
        <w:tc>
          <w:tcPr>
            <w:tcW w:w="1209" w:type="pct"/>
            <w:vAlign w:val="top"/>
          </w:tcPr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了解实训情况</w:t>
            </w:r>
          </w:p>
          <w:p>
            <w:pPr>
              <w:spacing w:line="360" w:lineRule="auto"/>
              <w:ind w:left="0" w:leftChars="0" w:right="0" w:rightChars="0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询问第一轮实训结束的学生，是否都找到并排除故障，了解裁判设置的故障点。</w:t>
            </w:r>
          </w:p>
          <w:p>
            <w:pPr>
              <w:spacing w:line="360" w:lineRule="auto"/>
              <w:ind w:left="0" w:leftChars="0" w:right="0" w:rightChars="0"/>
              <w:rPr>
                <w:rFonts w:hint="default" w:cs="Times New Roman"/>
                <w:sz w:val="24"/>
                <w:lang w:val="en-US" w:eastAsia="zh-CN"/>
              </w:rPr>
            </w:pPr>
          </w:p>
        </w:tc>
        <w:tc>
          <w:tcPr>
            <w:tcW w:w="1155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阐述实训情况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  <w:t>回答实训</w:t>
            </w:r>
            <w:r>
              <w:rPr>
                <w:rFonts w:hint="eastAsia" w:cs="Times New Roman"/>
                <w:sz w:val="24"/>
                <w:szCs w:val="22"/>
                <w:lang w:val="en-US" w:eastAsia="zh-CN" w:bidi="zh-CN"/>
              </w:rPr>
              <w:t>基本情况和</w:t>
            </w:r>
            <w:r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  <w:t>找到的故障点</w:t>
            </w:r>
            <w:r>
              <w:rPr>
                <w:rFonts w:hint="eastAsia" w:cs="Times New Roman"/>
                <w:sz w:val="24"/>
                <w:szCs w:val="22"/>
                <w:lang w:val="en-US" w:eastAsia="zh-CN" w:bidi="zh-CN"/>
              </w:rPr>
              <w:t>。</w:t>
            </w:r>
          </w:p>
        </w:tc>
        <w:tc>
          <w:tcPr>
            <w:tcW w:w="1091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掌握实训基本情况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0" w:hRule="atLeast"/>
        </w:trPr>
        <w:tc>
          <w:tcPr>
            <w:tcW w:w="493" w:type="pct"/>
            <w:vMerge w:val="continue"/>
            <w:vAlign w:val="center"/>
          </w:tcPr>
          <w:p>
            <w:pPr>
              <w:pStyle w:val="10"/>
              <w:jc w:val="center"/>
              <w:rPr>
                <w:b/>
                <w:sz w:val="24"/>
              </w:rPr>
            </w:pPr>
          </w:p>
        </w:tc>
        <w:tc>
          <w:tcPr>
            <w:tcW w:w="1050" w:type="pct"/>
            <w:vMerge w:val="continue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pct"/>
            <w:vAlign w:val="top"/>
          </w:tcPr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组织实训排故过程分享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请各同学上台分享本组排故过程。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安排4组实训学生依次分享自己在实训中遇到的问题，如何思考和解决的问题。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疑难解答</w:t>
            </w:r>
          </w:p>
          <w:p>
            <w:pPr>
              <w:spacing w:line="360" w:lineRule="auto"/>
              <w:ind w:left="0" w:leftChars="0" w:right="0" w:rightChars="0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对学生在实训中存在的疑问进行解答。</w:t>
            </w:r>
          </w:p>
        </w:tc>
        <w:tc>
          <w:tcPr>
            <w:tcW w:w="1155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实训排故过程分享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分享本组排故过程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（1）阐述故障现象；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（2）在黑板上画故障点电路图；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（3）分析诊断仪测得故障码；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（4）诊断；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（5）恢复故障。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right="0" w:rightChars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  <w:t>提出疑问和听取解答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 w:firstLine="0" w:firstLineChars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对实训中不理解的问题进行提问，听取教师解答。</w:t>
            </w:r>
          </w:p>
        </w:tc>
        <w:tc>
          <w:tcPr>
            <w:tcW w:w="1091" w:type="pct"/>
            <w:vAlign w:val="top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教学难点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故障点的确认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lang w:val="en-US" w:eastAsia="zh-CN"/>
              </w:rPr>
              <w:t>思政点</w:t>
            </w:r>
            <w:r>
              <w:rPr>
                <w:rFonts w:hint="eastAsia" w:cs="Times New Roman"/>
                <w:sz w:val="24"/>
                <w:lang w:val="en-US" w:eastAsia="zh-CN"/>
              </w:rPr>
              <w:t>：实践是检验真理的唯一标准。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培养学生表达能力，培养经验积累能力。</w:t>
            </w:r>
          </w:p>
        </w:tc>
      </w:tr>
    </w:tbl>
    <w:p>
      <w:pPr>
        <w:pStyle w:val="10"/>
        <w:spacing w:line="431" w:lineRule="exact"/>
        <w:ind w:left="398"/>
        <w:rPr>
          <w:rFonts w:hint="eastAsia" w:ascii="微软雅黑" w:eastAsia="微软雅黑"/>
          <w:b/>
          <w:color w:val="FFFFFF"/>
          <w:sz w:val="24"/>
        </w:rPr>
      </w:pPr>
    </w:p>
    <w:p>
      <w:pPr>
        <w:pStyle w:val="10"/>
        <w:spacing w:line="431" w:lineRule="exact"/>
        <w:ind w:left="398"/>
        <w:rPr>
          <w:rFonts w:hint="eastAsia" w:ascii="微软雅黑" w:eastAsia="微软雅黑"/>
          <w:b/>
          <w:color w:val="FFFFFF"/>
          <w:sz w:val="24"/>
        </w:rPr>
      </w:pPr>
    </w:p>
    <w:tbl>
      <w:tblPr>
        <w:tblStyle w:val="5"/>
        <w:tblW w:w="5106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9"/>
        <w:gridCol w:w="3298"/>
        <w:gridCol w:w="3796"/>
        <w:gridCol w:w="3628"/>
        <w:gridCol w:w="34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493" w:type="pct"/>
            <w:shd w:val="clear" w:color="auto" w:fill="006FC0"/>
          </w:tcPr>
          <w:p>
            <w:pPr>
              <w:pStyle w:val="10"/>
              <w:spacing w:line="431" w:lineRule="exact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环节</w:t>
            </w:r>
          </w:p>
        </w:tc>
        <w:tc>
          <w:tcPr>
            <w:tcW w:w="1050" w:type="pct"/>
            <w:shd w:val="clear" w:color="auto" w:fill="006FC0"/>
          </w:tcPr>
          <w:p>
            <w:pPr>
              <w:pStyle w:val="10"/>
              <w:spacing w:line="431" w:lineRule="exact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内容</w:t>
            </w:r>
          </w:p>
        </w:tc>
        <w:tc>
          <w:tcPr>
            <w:tcW w:w="1209" w:type="pct"/>
            <w:shd w:val="clear" w:color="auto" w:fill="006FC0"/>
          </w:tcPr>
          <w:p>
            <w:pPr>
              <w:pStyle w:val="10"/>
              <w:spacing w:line="431" w:lineRule="exact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教师</w:t>
            </w:r>
          </w:p>
          <w:p>
            <w:pPr>
              <w:pStyle w:val="10"/>
              <w:spacing w:before="52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155" w:type="pct"/>
            <w:shd w:val="clear" w:color="auto" w:fill="006FC0"/>
          </w:tcPr>
          <w:p>
            <w:pPr>
              <w:pStyle w:val="10"/>
              <w:spacing w:line="431" w:lineRule="exact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学生</w:t>
            </w:r>
          </w:p>
          <w:p>
            <w:pPr>
              <w:pStyle w:val="10"/>
              <w:spacing w:before="52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091" w:type="pct"/>
            <w:shd w:val="clear" w:color="auto" w:fill="006FC0"/>
          </w:tcPr>
          <w:p>
            <w:pPr>
              <w:pStyle w:val="10"/>
              <w:spacing w:line="431" w:lineRule="exact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设计</w:t>
            </w:r>
          </w:p>
          <w:p>
            <w:pPr>
              <w:pStyle w:val="10"/>
              <w:spacing w:before="52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意图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4" w:hRule="atLeast"/>
        </w:trPr>
        <w:tc>
          <w:tcPr>
            <w:tcW w:w="493" w:type="pct"/>
            <w:vMerge w:val="restart"/>
            <w:vAlign w:val="center"/>
          </w:tcPr>
          <w:p>
            <w:pPr>
              <w:pStyle w:val="10"/>
              <w:ind w:left="126"/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 w:ascii="Times New Roman"/>
                <w:b/>
                <w:sz w:val="24"/>
                <w:lang w:val="en-US" w:eastAsia="zh-CN"/>
              </w:rPr>
              <w:t>3</w:t>
            </w:r>
            <w:r>
              <w:rPr>
                <w:rFonts w:ascii="Times New Roman" w:eastAsia="Times New Roman"/>
                <w:b/>
                <w:sz w:val="24"/>
              </w:rPr>
              <w:t>.</w:t>
            </w:r>
            <w:r>
              <w:rPr>
                <w:rFonts w:hint="eastAsia" w:ascii="Times New Roman"/>
                <w:b/>
                <w:sz w:val="24"/>
                <w:lang w:val="en-US" w:eastAsia="zh-CN"/>
              </w:rPr>
              <w:t>实施</w:t>
            </w:r>
          </w:p>
          <w:p>
            <w:pPr>
              <w:pStyle w:val="10"/>
              <w:jc w:val="center"/>
              <w:rPr>
                <w:rFonts w:ascii="Times New Roman"/>
                <w:sz w:val="24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20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</w:tc>
        <w:tc>
          <w:tcPr>
            <w:tcW w:w="1050" w:type="pct"/>
            <w:vMerge w:val="restar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4.实施环节复盘（4min）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Times New Roman"/>
                <w:sz w:val="24"/>
                <w:szCs w:val="22"/>
                <w:lang w:val="en-US" w:eastAsia="zh-CN" w:bidi="zh-CN"/>
              </w:rPr>
            </w:pPr>
            <w:r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  <w:t>对</w:t>
            </w:r>
            <w:r>
              <w:rPr>
                <w:rFonts w:hint="eastAsia" w:cs="Times New Roman"/>
                <w:sz w:val="24"/>
                <w:szCs w:val="22"/>
                <w:lang w:val="en-US" w:eastAsia="zh-CN" w:bidi="zh-CN"/>
              </w:rPr>
              <w:t>第一轮</w:t>
            </w:r>
            <w:r>
              <w:rPr>
                <w:rFonts w:hint="eastAsia" w:ascii="宋体" w:hAnsi="宋体" w:eastAsia="宋体" w:cs="Times New Roman"/>
                <w:sz w:val="24"/>
                <w:szCs w:val="22"/>
                <w:lang w:val="en-US" w:eastAsia="zh-CN" w:bidi="zh-CN"/>
              </w:rPr>
              <w:t>实训和头脑风暴过程进行复盘，发现问题，总结经验，力求进步。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pct"/>
          </w:tcPr>
          <w:p>
            <w:pPr>
              <w:spacing w:line="360" w:lineRule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组织裁判点评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在全部实训结束后，请裁判组同学发言，复盘实训过程。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cs="Times New Roman"/>
                <w:sz w:val="24"/>
                <w:lang w:val="en-US" w:eastAsia="zh-CN"/>
              </w:rPr>
            </w:pPr>
          </w:p>
        </w:tc>
        <w:tc>
          <w:tcPr>
            <w:tcW w:w="1155" w:type="pc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  <w:t>裁判点评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裁判组发言：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（1）裁判设置故障；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（2）各组排故和得分情况；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（3）实训中存在的问题；</w:t>
            </w:r>
          </w:p>
        </w:tc>
        <w:tc>
          <w:tcPr>
            <w:tcW w:w="1091" w:type="pc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树立学生重视规则、重视标准、尊重裁判的职业意识</w:t>
            </w:r>
            <w:r>
              <w:rPr>
                <w:rFonts w:hint="eastAsia" w:cs="Times New Roman"/>
                <w:sz w:val="24"/>
                <w:lang w:val="zh-CN" w:eastAsia="zh-CN"/>
              </w:rPr>
              <w:t>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6" w:hRule="atLeast"/>
        </w:trPr>
        <w:tc>
          <w:tcPr>
            <w:tcW w:w="493" w:type="pct"/>
            <w:vMerge w:val="continue"/>
            <w:vAlign w:val="center"/>
          </w:tcPr>
          <w:p>
            <w:pPr>
              <w:pStyle w:val="10"/>
              <w:jc w:val="center"/>
              <w:rPr>
                <w:b/>
                <w:sz w:val="24"/>
              </w:rPr>
            </w:pPr>
          </w:p>
        </w:tc>
        <w:tc>
          <w:tcPr>
            <w:tcW w:w="1050" w:type="pct"/>
            <w:vMerge w:val="continue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pct"/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组织学生分享心得</w:t>
            </w:r>
          </w:p>
          <w:p>
            <w:pPr>
              <w:spacing w:line="360" w:lineRule="auto"/>
              <w:rPr>
                <w:rFonts w:hint="default" w:ascii="宋体" w:hAnsi="宋体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请实训组和头脑风暴组的同学分享自己在本节课的收获，包括知识、技能和情感各个方面的心得。</w:t>
            </w:r>
          </w:p>
        </w:tc>
        <w:tc>
          <w:tcPr>
            <w:tcW w:w="1155" w:type="pc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分享心得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分享知识、技能和情感各个方面的收获。</w:t>
            </w:r>
          </w:p>
        </w:tc>
        <w:tc>
          <w:tcPr>
            <w:tcW w:w="1091" w:type="pct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验证学习效果，是否达到知识、技能和情感三方面的学习目标。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8" w:hRule="atLeast"/>
        </w:trPr>
        <w:tc>
          <w:tcPr>
            <w:tcW w:w="493" w:type="pct"/>
            <w:vMerge w:val="continue"/>
            <w:vAlign w:val="center"/>
          </w:tcPr>
          <w:p>
            <w:pPr>
              <w:pStyle w:val="10"/>
              <w:jc w:val="center"/>
              <w:rPr>
                <w:b/>
                <w:sz w:val="24"/>
              </w:rPr>
            </w:pPr>
          </w:p>
        </w:tc>
        <w:tc>
          <w:tcPr>
            <w:tcW w:w="1050" w:type="pct"/>
            <w:vMerge w:val="continue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pct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教师点评</w:t>
            </w:r>
          </w:p>
          <w:p>
            <w:pPr>
              <w:spacing w:line="360" w:lineRule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1.评价和肯定裁判组工作。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2.评价和关注实训学生。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3.评价头脑风暴效果。</w:t>
            </w:r>
          </w:p>
          <w:p>
            <w:pPr>
              <w:spacing w:line="360" w:lineRule="auto"/>
              <w:rPr>
                <w:rFonts w:hint="eastAsia" w:cs="Times New Roman"/>
                <w:sz w:val="24"/>
                <w:lang w:val="en-US" w:eastAsia="zh-CN"/>
              </w:rPr>
            </w:pPr>
          </w:p>
        </w:tc>
        <w:tc>
          <w:tcPr>
            <w:tcW w:w="1155" w:type="pct"/>
            <w:tcBorders>
              <w:bottom w:val="single" w:color="auto" w:sz="4" w:space="0"/>
            </w:tcBorders>
          </w:tcPr>
          <w:p>
            <w:pPr>
              <w:spacing w:line="360" w:lineRule="auto"/>
              <w:rPr>
                <w:rFonts w:hint="default" w:cs="Times New Roman"/>
                <w:b/>
                <w:bCs/>
                <w:sz w:val="24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lang w:val="en-US" w:eastAsia="zh-CN"/>
              </w:rPr>
              <w:t>听取点评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听取教师的综合点评，肯定自身进步和收获，反思不足和如何改进。</w:t>
            </w:r>
          </w:p>
        </w:tc>
        <w:tc>
          <w:tcPr>
            <w:tcW w:w="1091" w:type="pct"/>
            <w:tcBorders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lang w:val="zh-CN" w:eastAsia="zh-CN"/>
              </w:rPr>
            </w:pPr>
            <w:r>
              <w:rPr>
                <w:rFonts w:hint="eastAsia" w:cs="Times New Roman"/>
                <w:sz w:val="24"/>
                <w:lang w:val="zh-CN" w:eastAsia="zh-CN"/>
              </w:rPr>
              <w:t>培养</w:t>
            </w:r>
            <w:r>
              <w:rPr>
                <w:rFonts w:hint="eastAsia" w:cs="Times New Roman"/>
                <w:sz w:val="24"/>
                <w:lang w:val="en-US" w:eastAsia="zh-CN"/>
              </w:rPr>
              <w:t>工作复盘的职业习惯，提升汽车人的自信和职业荣誉感</w:t>
            </w:r>
            <w:r>
              <w:rPr>
                <w:rFonts w:hint="eastAsia" w:cs="Times New Roman"/>
                <w:sz w:val="24"/>
                <w:lang w:val="zh-CN" w:eastAsia="zh-CN"/>
              </w:rPr>
              <w:t>。</w:t>
            </w:r>
          </w:p>
        </w:tc>
      </w:tr>
    </w:tbl>
    <w:p>
      <w:pPr>
        <w:pStyle w:val="10"/>
        <w:spacing w:line="431" w:lineRule="exact"/>
        <w:ind w:left="398"/>
        <w:rPr>
          <w:rFonts w:hint="eastAsia" w:ascii="微软雅黑" w:eastAsia="微软雅黑"/>
          <w:b/>
          <w:color w:val="FFFFFF"/>
          <w:sz w:val="24"/>
        </w:rPr>
      </w:pPr>
      <w:r>
        <w:rPr>
          <w:rFonts w:hint="eastAsia" w:ascii="微软雅黑" w:eastAsia="微软雅黑"/>
          <w:b/>
          <w:color w:val="FFFFFF"/>
          <w:sz w:val="24"/>
        </w:rPr>
        <w:br w:type="page"/>
      </w:r>
    </w:p>
    <w:tbl>
      <w:tblPr>
        <w:tblStyle w:val="5"/>
        <w:tblW w:w="5126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3311"/>
        <w:gridCol w:w="3810"/>
        <w:gridCol w:w="3642"/>
        <w:gridCol w:w="34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493" w:type="pct"/>
            <w:shd w:val="clear" w:color="auto" w:fill="006FC0"/>
          </w:tcPr>
          <w:p>
            <w:pPr>
              <w:pStyle w:val="10"/>
              <w:spacing w:line="431" w:lineRule="exact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398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环节</w:t>
            </w:r>
          </w:p>
        </w:tc>
        <w:tc>
          <w:tcPr>
            <w:tcW w:w="1050" w:type="pct"/>
            <w:shd w:val="clear" w:color="auto" w:fill="006FC0"/>
          </w:tcPr>
          <w:p>
            <w:pPr>
              <w:pStyle w:val="10"/>
              <w:spacing w:line="431" w:lineRule="exact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教学</w:t>
            </w:r>
          </w:p>
          <w:p>
            <w:pPr>
              <w:pStyle w:val="10"/>
              <w:spacing w:before="52"/>
              <w:ind w:left="1093" w:right="1084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内容</w:t>
            </w:r>
          </w:p>
        </w:tc>
        <w:tc>
          <w:tcPr>
            <w:tcW w:w="1208" w:type="pct"/>
            <w:shd w:val="clear" w:color="auto" w:fill="006FC0"/>
          </w:tcPr>
          <w:p>
            <w:pPr>
              <w:pStyle w:val="10"/>
              <w:spacing w:line="431" w:lineRule="exact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教师</w:t>
            </w:r>
          </w:p>
          <w:p>
            <w:pPr>
              <w:pStyle w:val="10"/>
              <w:spacing w:before="52"/>
              <w:ind w:left="1296" w:right="129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155" w:type="pct"/>
            <w:shd w:val="clear" w:color="auto" w:fill="006FC0"/>
          </w:tcPr>
          <w:p>
            <w:pPr>
              <w:pStyle w:val="10"/>
              <w:spacing w:line="431" w:lineRule="exact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学生</w:t>
            </w:r>
          </w:p>
          <w:p>
            <w:pPr>
              <w:pStyle w:val="10"/>
              <w:spacing w:before="52"/>
              <w:ind w:left="1229" w:right="1217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活动</w:t>
            </w:r>
          </w:p>
        </w:tc>
        <w:tc>
          <w:tcPr>
            <w:tcW w:w="1091" w:type="pct"/>
            <w:shd w:val="clear" w:color="auto" w:fill="006FC0"/>
          </w:tcPr>
          <w:p>
            <w:pPr>
              <w:pStyle w:val="10"/>
              <w:spacing w:line="431" w:lineRule="exact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设计</w:t>
            </w:r>
          </w:p>
          <w:p>
            <w:pPr>
              <w:pStyle w:val="10"/>
              <w:spacing w:before="52"/>
              <w:ind w:left="1143" w:right="1130"/>
              <w:jc w:val="center"/>
              <w:rPr>
                <w:rFonts w:hint="eastAsia" w:ascii="微软雅黑" w:eastAsia="微软雅黑"/>
                <w:b/>
                <w:sz w:val="24"/>
              </w:rPr>
            </w:pPr>
            <w:r>
              <w:rPr>
                <w:rFonts w:hint="eastAsia" w:ascii="微软雅黑" w:eastAsia="微软雅黑"/>
                <w:b/>
                <w:color w:val="FFFFFF"/>
                <w:sz w:val="24"/>
              </w:rPr>
              <w:t>意图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493" w:type="pct"/>
            <w:vMerge w:val="restart"/>
            <w:vAlign w:val="center"/>
          </w:tcPr>
          <w:p>
            <w:pPr>
              <w:pStyle w:val="1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5.总结</w:t>
            </w:r>
          </w:p>
          <w:p>
            <w:pPr>
              <w:pStyle w:val="1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b/>
                <w:sz w:val="24"/>
              </w:rPr>
              <w:t>（</w:t>
            </w:r>
            <w:r>
              <w:rPr>
                <w:rFonts w:hint="eastAsia"/>
                <w:b/>
                <w:sz w:val="24"/>
                <w:lang w:val="en-US" w:eastAsia="zh-CN"/>
              </w:rPr>
              <w:t>5</w:t>
            </w:r>
            <w:r>
              <w:rPr>
                <w:rFonts w:ascii="Times New Roman" w:eastAsia="Times New Roman"/>
                <w:b/>
                <w:sz w:val="24"/>
              </w:rPr>
              <w:t>min</w:t>
            </w:r>
            <w:r>
              <w:rPr>
                <w:b/>
                <w:sz w:val="24"/>
              </w:rPr>
              <w:t>）</w:t>
            </w:r>
          </w:p>
        </w:tc>
        <w:tc>
          <w:tcPr>
            <w:tcW w:w="1050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总结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教学内容总结；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实施过程总结；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教学目标完成度反思。</w:t>
            </w:r>
          </w:p>
        </w:tc>
        <w:tc>
          <w:tcPr>
            <w:tcW w:w="1208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Times New Roman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教师总结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1.本节课我们掌握了以下知识和技能：</w:t>
            </w:r>
          </w:p>
          <w:p>
            <w:pPr>
              <w:pStyle w:val="10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（1）比亚迪秦高压上电过程；</w:t>
            </w:r>
          </w:p>
          <w:p>
            <w:pPr>
              <w:pStyle w:val="10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（2）整车控制器高压上电电路；</w:t>
            </w:r>
          </w:p>
          <w:p>
            <w:pPr>
              <w:pStyle w:val="10"/>
              <w:rPr>
                <w:rFonts w:hint="eastAsia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（3）整车控制器高压不上电故障诊断。</w:t>
            </w: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2.锤炼了技能和勇于探索的精神；为国产新能源汽车保驾护航。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155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 w:bidi="zh-CN"/>
              </w:rPr>
              <w:t>参与总结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1.和教师一起总结本次课学到的知识和技能；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2.铭记</w:t>
            </w: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锤炼技能和勇于探索的工匠精神；支持国产新能源汽车的发展。</w:t>
            </w:r>
          </w:p>
        </w:tc>
        <w:tc>
          <w:tcPr>
            <w:tcW w:w="1091" w:type="pct"/>
          </w:tcPr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/>
              <w:jc w:val="left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一课一评价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知识和技能总结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/>
              <w:jc w:val="left"/>
              <w:textAlignment w:val="auto"/>
              <w:rPr>
                <w:rFonts w:hint="eastAsia" w:cs="Times New Roman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/>
              <w:jc w:val="left"/>
              <w:textAlignment w:val="auto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思政点：</w:t>
            </w: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宣扬工匠精神，为国家事业做贡献的奉献精神。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8" w:hRule="atLeast"/>
        </w:trPr>
        <w:tc>
          <w:tcPr>
            <w:tcW w:w="493" w:type="pct"/>
            <w:vMerge w:val="continue"/>
            <w:tcBorders>
              <w:bottom w:val="single" w:color="auto" w:sz="4" w:space="0"/>
            </w:tcBorders>
          </w:tcPr>
          <w:p>
            <w:pPr>
              <w:pStyle w:val="10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050" w:type="pct"/>
            <w:tcBorders>
              <w:top w:val="single" w:color="auto" w:sz="4" w:space="0"/>
              <w:bottom w:val="single" w:color="auto" w:sz="4" w:space="0"/>
            </w:tcBorders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课后任务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default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整理课堂故障案例，积累案例库。</w:t>
            </w:r>
          </w:p>
        </w:tc>
        <w:tc>
          <w:tcPr>
            <w:tcW w:w="1208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default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布置课后任务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鼓励学生整理课堂故障案例，积累案例库。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Times New Roman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2407285" cy="1356995"/>
                  <wp:effectExtent l="0" t="0" r="12065" b="1460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8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right="0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  <w:lang w:val="en-US" w:eastAsia="zh-CN"/>
              </w:rPr>
              <w:t>完成课后任务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360" w:lineRule="auto"/>
              <w:ind w:left="0" w:leftChars="0" w:right="0" w:rightChars="0"/>
              <w:textAlignment w:val="auto"/>
              <w:rPr>
                <w:rFonts w:hint="eastAsia" w:ascii="Times New Roman" w:hAnsi="宋体" w:eastAsia="宋体" w:cs="宋体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整理课堂故障案例，积累案例库。</w:t>
            </w:r>
          </w:p>
        </w:tc>
        <w:tc>
          <w:tcPr>
            <w:tcW w:w="1091" w:type="pct"/>
            <w:vAlign w:val="top"/>
          </w:tcPr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/>
              <w:jc w:val="left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培养良好的5S职业习惯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培养重视经验积累的职业素养</w:t>
            </w: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40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36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</w:tr>
    </w:tbl>
    <w:p>
      <w:pPr>
        <w:pStyle w:val="10"/>
        <w:spacing w:line="431" w:lineRule="exact"/>
      </w:pPr>
    </w:p>
    <w:sectPr>
      <w:footerReference r:id="rId7" w:type="default"/>
      <w:pgSz w:w="16840" w:h="11910" w:orient="landscape"/>
      <w:pgMar w:top="1100" w:right="620" w:bottom="1360" w:left="860" w:header="0" w:footer="1169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E46688"/>
    <w:multiLevelType w:val="singleLevel"/>
    <w:tmpl w:val="C6E466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E8D4872"/>
    <w:multiLevelType w:val="singleLevel"/>
    <w:tmpl w:val="FE8D487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F50AD61"/>
    <w:multiLevelType w:val="singleLevel"/>
    <w:tmpl w:val="FF50AD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EF9B337"/>
    <w:multiLevelType w:val="singleLevel"/>
    <w:tmpl w:val="0EF9B337"/>
    <w:lvl w:ilvl="0" w:tentative="0">
      <w:start w:val="3"/>
      <w:numFmt w:val="decimal"/>
      <w:suff w:val="nothing"/>
      <w:lvlText w:val="（%1）"/>
      <w:lvlJc w:val="left"/>
    </w:lvl>
  </w:abstractNum>
  <w:abstractNum w:abstractNumId="4">
    <w:nsid w:val="45A97959"/>
    <w:multiLevelType w:val="singleLevel"/>
    <w:tmpl w:val="45A9795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lkN2Y2ZmRhYTFjZWJjM2I3NjFiNThhMGIyZmI5ZWEifQ=="/>
  </w:docVars>
  <w:rsids>
    <w:rsidRoot w:val="00000000"/>
    <w:rsid w:val="0046550B"/>
    <w:rsid w:val="00B74C12"/>
    <w:rsid w:val="00BD4960"/>
    <w:rsid w:val="00D873F0"/>
    <w:rsid w:val="00FC6808"/>
    <w:rsid w:val="01201D17"/>
    <w:rsid w:val="012E0053"/>
    <w:rsid w:val="01613A48"/>
    <w:rsid w:val="016A347B"/>
    <w:rsid w:val="016E47FD"/>
    <w:rsid w:val="01A93E7C"/>
    <w:rsid w:val="01B07844"/>
    <w:rsid w:val="01DF33B8"/>
    <w:rsid w:val="01E44FDB"/>
    <w:rsid w:val="01F97862"/>
    <w:rsid w:val="02A15648"/>
    <w:rsid w:val="02F4124E"/>
    <w:rsid w:val="03053DD0"/>
    <w:rsid w:val="031F03A2"/>
    <w:rsid w:val="031F79FF"/>
    <w:rsid w:val="033105FC"/>
    <w:rsid w:val="033937A3"/>
    <w:rsid w:val="035A71CA"/>
    <w:rsid w:val="03A84341"/>
    <w:rsid w:val="03B21F02"/>
    <w:rsid w:val="03B877E7"/>
    <w:rsid w:val="03CE43EA"/>
    <w:rsid w:val="03EE3489"/>
    <w:rsid w:val="04425359"/>
    <w:rsid w:val="051915B7"/>
    <w:rsid w:val="058771CF"/>
    <w:rsid w:val="058B39C0"/>
    <w:rsid w:val="05B5703D"/>
    <w:rsid w:val="05E7762B"/>
    <w:rsid w:val="06744DAD"/>
    <w:rsid w:val="06794EB3"/>
    <w:rsid w:val="06ED4102"/>
    <w:rsid w:val="070A631C"/>
    <w:rsid w:val="0727545E"/>
    <w:rsid w:val="07301112"/>
    <w:rsid w:val="07717D8F"/>
    <w:rsid w:val="07E76252"/>
    <w:rsid w:val="07FE0CC0"/>
    <w:rsid w:val="080953FF"/>
    <w:rsid w:val="080D4CE3"/>
    <w:rsid w:val="0835379C"/>
    <w:rsid w:val="089963F4"/>
    <w:rsid w:val="08D7400B"/>
    <w:rsid w:val="09221AE7"/>
    <w:rsid w:val="092B3E2E"/>
    <w:rsid w:val="09327424"/>
    <w:rsid w:val="09580C29"/>
    <w:rsid w:val="098F5FEB"/>
    <w:rsid w:val="0995351C"/>
    <w:rsid w:val="09E91F0F"/>
    <w:rsid w:val="09FB7366"/>
    <w:rsid w:val="0A375EC4"/>
    <w:rsid w:val="0A6B7303"/>
    <w:rsid w:val="0AE47747"/>
    <w:rsid w:val="0B136931"/>
    <w:rsid w:val="0B6158EF"/>
    <w:rsid w:val="0B887BB6"/>
    <w:rsid w:val="0B916F96"/>
    <w:rsid w:val="0B9D29F6"/>
    <w:rsid w:val="0BC46B7E"/>
    <w:rsid w:val="0BE876D6"/>
    <w:rsid w:val="0BFB57A9"/>
    <w:rsid w:val="0C1640A8"/>
    <w:rsid w:val="0C381A71"/>
    <w:rsid w:val="0C3D4D22"/>
    <w:rsid w:val="0C6067BF"/>
    <w:rsid w:val="0C9418C7"/>
    <w:rsid w:val="0CA25A36"/>
    <w:rsid w:val="0CAE561D"/>
    <w:rsid w:val="0CBC2963"/>
    <w:rsid w:val="0CD05521"/>
    <w:rsid w:val="0CFE46F5"/>
    <w:rsid w:val="0CFF160F"/>
    <w:rsid w:val="0D0544FD"/>
    <w:rsid w:val="0D406622"/>
    <w:rsid w:val="0D4A2F86"/>
    <w:rsid w:val="0D7960DC"/>
    <w:rsid w:val="0D98515C"/>
    <w:rsid w:val="0DD05BFA"/>
    <w:rsid w:val="0DD970D7"/>
    <w:rsid w:val="0E302AC8"/>
    <w:rsid w:val="0E384722"/>
    <w:rsid w:val="0E651252"/>
    <w:rsid w:val="0E8518F4"/>
    <w:rsid w:val="0EBE0628"/>
    <w:rsid w:val="0EF14A36"/>
    <w:rsid w:val="0F0D4848"/>
    <w:rsid w:val="0F18135E"/>
    <w:rsid w:val="0F957915"/>
    <w:rsid w:val="0F9A6FFD"/>
    <w:rsid w:val="0FC35A18"/>
    <w:rsid w:val="0FE2406C"/>
    <w:rsid w:val="10015EDC"/>
    <w:rsid w:val="101C3B92"/>
    <w:rsid w:val="102D39AA"/>
    <w:rsid w:val="10464F52"/>
    <w:rsid w:val="105359FE"/>
    <w:rsid w:val="10AD7D9F"/>
    <w:rsid w:val="10B32F7D"/>
    <w:rsid w:val="10C93089"/>
    <w:rsid w:val="11067653"/>
    <w:rsid w:val="111073EA"/>
    <w:rsid w:val="112A6783"/>
    <w:rsid w:val="11301FEB"/>
    <w:rsid w:val="11453361"/>
    <w:rsid w:val="114A45E1"/>
    <w:rsid w:val="116D7D5F"/>
    <w:rsid w:val="119A7465"/>
    <w:rsid w:val="11CB7D3D"/>
    <w:rsid w:val="120D5E88"/>
    <w:rsid w:val="12226352"/>
    <w:rsid w:val="124913AC"/>
    <w:rsid w:val="129A7E50"/>
    <w:rsid w:val="12B32F58"/>
    <w:rsid w:val="133E022C"/>
    <w:rsid w:val="13415AB9"/>
    <w:rsid w:val="134C5B68"/>
    <w:rsid w:val="13711239"/>
    <w:rsid w:val="13BE7E3F"/>
    <w:rsid w:val="13C7475D"/>
    <w:rsid w:val="13E76BAD"/>
    <w:rsid w:val="14755F67"/>
    <w:rsid w:val="14A00DFD"/>
    <w:rsid w:val="14A63478"/>
    <w:rsid w:val="14DE573A"/>
    <w:rsid w:val="15300325"/>
    <w:rsid w:val="15457785"/>
    <w:rsid w:val="15AA5D22"/>
    <w:rsid w:val="15B11592"/>
    <w:rsid w:val="15B12FCF"/>
    <w:rsid w:val="15C56A7A"/>
    <w:rsid w:val="163F7FF1"/>
    <w:rsid w:val="16646CE7"/>
    <w:rsid w:val="16B40B9D"/>
    <w:rsid w:val="174B03BA"/>
    <w:rsid w:val="177C73EF"/>
    <w:rsid w:val="177D710B"/>
    <w:rsid w:val="17F23AAF"/>
    <w:rsid w:val="17F25BFB"/>
    <w:rsid w:val="18092664"/>
    <w:rsid w:val="182136DF"/>
    <w:rsid w:val="184408D9"/>
    <w:rsid w:val="184C4751"/>
    <w:rsid w:val="18657636"/>
    <w:rsid w:val="187B067C"/>
    <w:rsid w:val="18CB25F9"/>
    <w:rsid w:val="193E1E53"/>
    <w:rsid w:val="195279F9"/>
    <w:rsid w:val="19860398"/>
    <w:rsid w:val="1A1F3B53"/>
    <w:rsid w:val="1A3621EC"/>
    <w:rsid w:val="1A6227C5"/>
    <w:rsid w:val="1A6E3285"/>
    <w:rsid w:val="1A851DD5"/>
    <w:rsid w:val="1A957298"/>
    <w:rsid w:val="1AEB0DEC"/>
    <w:rsid w:val="1B352369"/>
    <w:rsid w:val="1B782B06"/>
    <w:rsid w:val="1B8363E6"/>
    <w:rsid w:val="1B854266"/>
    <w:rsid w:val="1B905E97"/>
    <w:rsid w:val="1C326C9E"/>
    <w:rsid w:val="1C351E8A"/>
    <w:rsid w:val="1C535969"/>
    <w:rsid w:val="1C5E0613"/>
    <w:rsid w:val="1C627229"/>
    <w:rsid w:val="1C7F5BD5"/>
    <w:rsid w:val="1CB31730"/>
    <w:rsid w:val="1D0D045E"/>
    <w:rsid w:val="1D3A684D"/>
    <w:rsid w:val="1D481B73"/>
    <w:rsid w:val="1D5211AF"/>
    <w:rsid w:val="1D602CB7"/>
    <w:rsid w:val="1D9E208B"/>
    <w:rsid w:val="1DC17079"/>
    <w:rsid w:val="1DE77CD7"/>
    <w:rsid w:val="1E54033A"/>
    <w:rsid w:val="1E5A28E3"/>
    <w:rsid w:val="1E6031D9"/>
    <w:rsid w:val="1EA63BFF"/>
    <w:rsid w:val="1EAF02C7"/>
    <w:rsid w:val="1EB80C21"/>
    <w:rsid w:val="1ECE699F"/>
    <w:rsid w:val="1F047610"/>
    <w:rsid w:val="1F15637C"/>
    <w:rsid w:val="1F525BBA"/>
    <w:rsid w:val="1F582F11"/>
    <w:rsid w:val="2061194F"/>
    <w:rsid w:val="206863CA"/>
    <w:rsid w:val="20961596"/>
    <w:rsid w:val="20CA763A"/>
    <w:rsid w:val="20DC2647"/>
    <w:rsid w:val="20E4349F"/>
    <w:rsid w:val="20FA0E66"/>
    <w:rsid w:val="20FB77F4"/>
    <w:rsid w:val="2126650E"/>
    <w:rsid w:val="21272F67"/>
    <w:rsid w:val="21365DB1"/>
    <w:rsid w:val="21611D4D"/>
    <w:rsid w:val="21641A5D"/>
    <w:rsid w:val="216E6218"/>
    <w:rsid w:val="217D0733"/>
    <w:rsid w:val="21CF093D"/>
    <w:rsid w:val="21E31515"/>
    <w:rsid w:val="222B5CCB"/>
    <w:rsid w:val="22B21F99"/>
    <w:rsid w:val="236A7075"/>
    <w:rsid w:val="23772C71"/>
    <w:rsid w:val="23AC7326"/>
    <w:rsid w:val="23B76021"/>
    <w:rsid w:val="23D95D4F"/>
    <w:rsid w:val="23DA5DDA"/>
    <w:rsid w:val="24052292"/>
    <w:rsid w:val="243005A6"/>
    <w:rsid w:val="244C655C"/>
    <w:rsid w:val="24853FA4"/>
    <w:rsid w:val="24D95205"/>
    <w:rsid w:val="24FB472F"/>
    <w:rsid w:val="250A6257"/>
    <w:rsid w:val="25137AAD"/>
    <w:rsid w:val="252057C5"/>
    <w:rsid w:val="253E26AB"/>
    <w:rsid w:val="2576394B"/>
    <w:rsid w:val="25E216F2"/>
    <w:rsid w:val="25EE6692"/>
    <w:rsid w:val="26013AFE"/>
    <w:rsid w:val="26204779"/>
    <w:rsid w:val="2627274E"/>
    <w:rsid w:val="265348CD"/>
    <w:rsid w:val="26695F33"/>
    <w:rsid w:val="267341C3"/>
    <w:rsid w:val="267F6EC7"/>
    <w:rsid w:val="26972907"/>
    <w:rsid w:val="26AA4F76"/>
    <w:rsid w:val="275B0518"/>
    <w:rsid w:val="277E03B4"/>
    <w:rsid w:val="27905046"/>
    <w:rsid w:val="27985D9D"/>
    <w:rsid w:val="27B94E3D"/>
    <w:rsid w:val="27BC4A13"/>
    <w:rsid w:val="27C65A3E"/>
    <w:rsid w:val="27E10412"/>
    <w:rsid w:val="27EB6FC4"/>
    <w:rsid w:val="28072F22"/>
    <w:rsid w:val="28257885"/>
    <w:rsid w:val="28851F99"/>
    <w:rsid w:val="28913161"/>
    <w:rsid w:val="28B9401A"/>
    <w:rsid w:val="292C505B"/>
    <w:rsid w:val="29451611"/>
    <w:rsid w:val="296926A4"/>
    <w:rsid w:val="29925F65"/>
    <w:rsid w:val="2A0C1936"/>
    <w:rsid w:val="2A0E3F19"/>
    <w:rsid w:val="2A750EFE"/>
    <w:rsid w:val="2B2F4A7A"/>
    <w:rsid w:val="2B3758CC"/>
    <w:rsid w:val="2BB50CBF"/>
    <w:rsid w:val="2BC709B9"/>
    <w:rsid w:val="2BE5459C"/>
    <w:rsid w:val="2BF51A0F"/>
    <w:rsid w:val="2C763172"/>
    <w:rsid w:val="2C822EA5"/>
    <w:rsid w:val="2C97686A"/>
    <w:rsid w:val="2CF40FAD"/>
    <w:rsid w:val="2D1F3042"/>
    <w:rsid w:val="2D6F7503"/>
    <w:rsid w:val="2D777A50"/>
    <w:rsid w:val="2D872B3B"/>
    <w:rsid w:val="2D8C00FC"/>
    <w:rsid w:val="2DB96A6D"/>
    <w:rsid w:val="2E012603"/>
    <w:rsid w:val="2E1343CF"/>
    <w:rsid w:val="2E60728D"/>
    <w:rsid w:val="2E7408FE"/>
    <w:rsid w:val="2E8F3676"/>
    <w:rsid w:val="2E9E5D90"/>
    <w:rsid w:val="2EE9735C"/>
    <w:rsid w:val="2EEA1205"/>
    <w:rsid w:val="2EFD1132"/>
    <w:rsid w:val="2F1925DA"/>
    <w:rsid w:val="2F1D5F77"/>
    <w:rsid w:val="2F413C06"/>
    <w:rsid w:val="2F4A53A6"/>
    <w:rsid w:val="2F5F53F2"/>
    <w:rsid w:val="2F7E1D1C"/>
    <w:rsid w:val="2FB03B1D"/>
    <w:rsid w:val="2FDC197F"/>
    <w:rsid w:val="2FF35917"/>
    <w:rsid w:val="303D6458"/>
    <w:rsid w:val="31296594"/>
    <w:rsid w:val="312A0CDC"/>
    <w:rsid w:val="31505F30"/>
    <w:rsid w:val="316737CE"/>
    <w:rsid w:val="31E43865"/>
    <w:rsid w:val="321B7CF6"/>
    <w:rsid w:val="32536B43"/>
    <w:rsid w:val="32805DAB"/>
    <w:rsid w:val="329655CE"/>
    <w:rsid w:val="32BA12BD"/>
    <w:rsid w:val="32D103B5"/>
    <w:rsid w:val="32F03D82"/>
    <w:rsid w:val="32F80837"/>
    <w:rsid w:val="330D6FC9"/>
    <w:rsid w:val="332423DD"/>
    <w:rsid w:val="338D64EF"/>
    <w:rsid w:val="33963A9C"/>
    <w:rsid w:val="33AA6CAA"/>
    <w:rsid w:val="33D00950"/>
    <w:rsid w:val="341B0DF7"/>
    <w:rsid w:val="342E2857"/>
    <w:rsid w:val="347532BD"/>
    <w:rsid w:val="34777DA9"/>
    <w:rsid w:val="347B0FC7"/>
    <w:rsid w:val="349A3EB3"/>
    <w:rsid w:val="349A7C7F"/>
    <w:rsid w:val="34AB24BC"/>
    <w:rsid w:val="34C839CB"/>
    <w:rsid w:val="34DA0701"/>
    <w:rsid w:val="35462BB1"/>
    <w:rsid w:val="35CA28A0"/>
    <w:rsid w:val="35D85DFF"/>
    <w:rsid w:val="35F2060C"/>
    <w:rsid w:val="35FA1F31"/>
    <w:rsid w:val="3617493A"/>
    <w:rsid w:val="3651058A"/>
    <w:rsid w:val="366445A8"/>
    <w:rsid w:val="367B44AD"/>
    <w:rsid w:val="368A4C5A"/>
    <w:rsid w:val="36962041"/>
    <w:rsid w:val="369B370D"/>
    <w:rsid w:val="36E44B5A"/>
    <w:rsid w:val="37163CB6"/>
    <w:rsid w:val="37285B5D"/>
    <w:rsid w:val="376203A9"/>
    <w:rsid w:val="37645AE0"/>
    <w:rsid w:val="378C2DC9"/>
    <w:rsid w:val="37A864B2"/>
    <w:rsid w:val="37C25CF2"/>
    <w:rsid w:val="37D45FB2"/>
    <w:rsid w:val="37DB36A4"/>
    <w:rsid w:val="37FD66FA"/>
    <w:rsid w:val="383E029A"/>
    <w:rsid w:val="385134C1"/>
    <w:rsid w:val="385878C2"/>
    <w:rsid w:val="385929D3"/>
    <w:rsid w:val="38832658"/>
    <w:rsid w:val="38C7437C"/>
    <w:rsid w:val="38E75792"/>
    <w:rsid w:val="38EC5F48"/>
    <w:rsid w:val="390F1C37"/>
    <w:rsid w:val="393D0552"/>
    <w:rsid w:val="39700DCF"/>
    <w:rsid w:val="399860D0"/>
    <w:rsid w:val="399C48F4"/>
    <w:rsid w:val="39E148C2"/>
    <w:rsid w:val="39F55C09"/>
    <w:rsid w:val="3A352C5E"/>
    <w:rsid w:val="3A3C3913"/>
    <w:rsid w:val="3A3C4CAD"/>
    <w:rsid w:val="3A611950"/>
    <w:rsid w:val="3A94339F"/>
    <w:rsid w:val="3A9C3BCF"/>
    <w:rsid w:val="3AEC66D3"/>
    <w:rsid w:val="3AF60158"/>
    <w:rsid w:val="3B2C28D6"/>
    <w:rsid w:val="3B5023D2"/>
    <w:rsid w:val="3B893F22"/>
    <w:rsid w:val="3BC91437"/>
    <w:rsid w:val="3BD66A3C"/>
    <w:rsid w:val="3BFF2436"/>
    <w:rsid w:val="3C06204E"/>
    <w:rsid w:val="3C392ABA"/>
    <w:rsid w:val="3CE138D1"/>
    <w:rsid w:val="3D4C7287"/>
    <w:rsid w:val="3D503664"/>
    <w:rsid w:val="3D5E5DE3"/>
    <w:rsid w:val="3D69400B"/>
    <w:rsid w:val="3DA43295"/>
    <w:rsid w:val="3DD26B7B"/>
    <w:rsid w:val="3DFA7C60"/>
    <w:rsid w:val="3E180890"/>
    <w:rsid w:val="3E7E21B9"/>
    <w:rsid w:val="3E963F94"/>
    <w:rsid w:val="3ED56A4E"/>
    <w:rsid w:val="3F14754C"/>
    <w:rsid w:val="3F3B6303"/>
    <w:rsid w:val="3F516B05"/>
    <w:rsid w:val="3FC03EA7"/>
    <w:rsid w:val="3FC72C58"/>
    <w:rsid w:val="403D3E08"/>
    <w:rsid w:val="408B0BB8"/>
    <w:rsid w:val="40DE7449"/>
    <w:rsid w:val="40F456A8"/>
    <w:rsid w:val="41211BCB"/>
    <w:rsid w:val="417A37DF"/>
    <w:rsid w:val="41A82D72"/>
    <w:rsid w:val="41AF3E75"/>
    <w:rsid w:val="41B149F5"/>
    <w:rsid w:val="41C05ABA"/>
    <w:rsid w:val="41C919E8"/>
    <w:rsid w:val="41E03EEF"/>
    <w:rsid w:val="42964C35"/>
    <w:rsid w:val="42F06CC5"/>
    <w:rsid w:val="431B094C"/>
    <w:rsid w:val="442A5B77"/>
    <w:rsid w:val="446D195D"/>
    <w:rsid w:val="446D2E9D"/>
    <w:rsid w:val="449C158E"/>
    <w:rsid w:val="44CB735A"/>
    <w:rsid w:val="451C50BF"/>
    <w:rsid w:val="45636F2C"/>
    <w:rsid w:val="45763769"/>
    <w:rsid w:val="45800144"/>
    <w:rsid w:val="45823DC2"/>
    <w:rsid w:val="45EF7B34"/>
    <w:rsid w:val="460F5236"/>
    <w:rsid w:val="46893028"/>
    <w:rsid w:val="46B02946"/>
    <w:rsid w:val="46B04A59"/>
    <w:rsid w:val="46BC781A"/>
    <w:rsid w:val="46CF261A"/>
    <w:rsid w:val="473C6F38"/>
    <w:rsid w:val="474D674C"/>
    <w:rsid w:val="47627DD0"/>
    <w:rsid w:val="47895BB9"/>
    <w:rsid w:val="478B2DD0"/>
    <w:rsid w:val="47956554"/>
    <w:rsid w:val="47D824A7"/>
    <w:rsid w:val="47F97D1A"/>
    <w:rsid w:val="482D1F14"/>
    <w:rsid w:val="48873598"/>
    <w:rsid w:val="4893018E"/>
    <w:rsid w:val="493A6CFD"/>
    <w:rsid w:val="493F5984"/>
    <w:rsid w:val="495D11CB"/>
    <w:rsid w:val="49753927"/>
    <w:rsid w:val="49B11B4C"/>
    <w:rsid w:val="49EA3A87"/>
    <w:rsid w:val="49EE5ED5"/>
    <w:rsid w:val="4A33625A"/>
    <w:rsid w:val="4A342041"/>
    <w:rsid w:val="4A5127CE"/>
    <w:rsid w:val="4A54367A"/>
    <w:rsid w:val="4A5703E5"/>
    <w:rsid w:val="4A84343D"/>
    <w:rsid w:val="4ADC775F"/>
    <w:rsid w:val="4AF13892"/>
    <w:rsid w:val="4B35195E"/>
    <w:rsid w:val="4B454040"/>
    <w:rsid w:val="4B4C0FFA"/>
    <w:rsid w:val="4B582862"/>
    <w:rsid w:val="4B5D7DCF"/>
    <w:rsid w:val="4B6207F8"/>
    <w:rsid w:val="4B7F58AE"/>
    <w:rsid w:val="4C43520A"/>
    <w:rsid w:val="4C660B3B"/>
    <w:rsid w:val="4CAB5C33"/>
    <w:rsid w:val="4CC76658"/>
    <w:rsid w:val="4CD83960"/>
    <w:rsid w:val="4D08235F"/>
    <w:rsid w:val="4D09259C"/>
    <w:rsid w:val="4D394FD5"/>
    <w:rsid w:val="4D4C4931"/>
    <w:rsid w:val="4D5F6C8A"/>
    <w:rsid w:val="4D635CEF"/>
    <w:rsid w:val="4D7F5185"/>
    <w:rsid w:val="4DCB1BBB"/>
    <w:rsid w:val="4DD20112"/>
    <w:rsid w:val="4DEE78B9"/>
    <w:rsid w:val="4E023E37"/>
    <w:rsid w:val="4E092CA1"/>
    <w:rsid w:val="4E230C2B"/>
    <w:rsid w:val="4E5C450E"/>
    <w:rsid w:val="4E622835"/>
    <w:rsid w:val="4E880069"/>
    <w:rsid w:val="4EE163FA"/>
    <w:rsid w:val="4F1F102B"/>
    <w:rsid w:val="4F2944F1"/>
    <w:rsid w:val="4FDA3266"/>
    <w:rsid w:val="4FF83F0C"/>
    <w:rsid w:val="4FFD5D1A"/>
    <w:rsid w:val="50250378"/>
    <w:rsid w:val="5055377C"/>
    <w:rsid w:val="506F0C8B"/>
    <w:rsid w:val="50722D26"/>
    <w:rsid w:val="507F072A"/>
    <w:rsid w:val="50874A7C"/>
    <w:rsid w:val="50C07D06"/>
    <w:rsid w:val="50F9524E"/>
    <w:rsid w:val="51164E45"/>
    <w:rsid w:val="51520E5A"/>
    <w:rsid w:val="51CC26BE"/>
    <w:rsid w:val="51E411EA"/>
    <w:rsid w:val="52280D54"/>
    <w:rsid w:val="52707792"/>
    <w:rsid w:val="5283369A"/>
    <w:rsid w:val="5299398D"/>
    <w:rsid w:val="52DF18E4"/>
    <w:rsid w:val="52F8622C"/>
    <w:rsid w:val="5334431C"/>
    <w:rsid w:val="533955A1"/>
    <w:rsid w:val="5343618F"/>
    <w:rsid w:val="53682DAF"/>
    <w:rsid w:val="546C0C7B"/>
    <w:rsid w:val="54811AD1"/>
    <w:rsid w:val="55976C33"/>
    <w:rsid w:val="55AF059F"/>
    <w:rsid w:val="55ED715E"/>
    <w:rsid w:val="55EF09CE"/>
    <w:rsid w:val="56544AA9"/>
    <w:rsid w:val="56707788"/>
    <w:rsid w:val="56835CE6"/>
    <w:rsid w:val="571C2C91"/>
    <w:rsid w:val="571D257A"/>
    <w:rsid w:val="574F5BC8"/>
    <w:rsid w:val="57725CCE"/>
    <w:rsid w:val="584450D0"/>
    <w:rsid w:val="584460E3"/>
    <w:rsid w:val="587B343A"/>
    <w:rsid w:val="58991CF3"/>
    <w:rsid w:val="58D205B4"/>
    <w:rsid w:val="59025096"/>
    <w:rsid w:val="594F5DC7"/>
    <w:rsid w:val="59BD2D7A"/>
    <w:rsid w:val="59F41829"/>
    <w:rsid w:val="59F81DEB"/>
    <w:rsid w:val="5A0B75B7"/>
    <w:rsid w:val="5A541493"/>
    <w:rsid w:val="5A985AD8"/>
    <w:rsid w:val="5B8707DC"/>
    <w:rsid w:val="5B9C28C3"/>
    <w:rsid w:val="5BAD55B3"/>
    <w:rsid w:val="5BCF649B"/>
    <w:rsid w:val="5BFC5531"/>
    <w:rsid w:val="5C167099"/>
    <w:rsid w:val="5C372154"/>
    <w:rsid w:val="5C8C1F7A"/>
    <w:rsid w:val="5C957EDA"/>
    <w:rsid w:val="5CFC076D"/>
    <w:rsid w:val="5D557CB0"/>
    <w:rsid w:val="5D587CCB"/>
    <w:rsid w:val="5D783E0D"/>
    <w:rsid w:val="5D9448DA"/>
    <w:rsid w:val="5DB92FBD"/>
    <w:rsid w:val="5DD23A96"/>
    <w:rsid w:val="5DD93D2E"/>
    <w:rsid w:val="5E605CD5"/>
    <w:rsid w:val="5E6D4B86"/>
    <w:rsid w:val="5E7A60C7"/>
    <w:rsid w:val="5E914C0E"/>
    <w:rsid w:val="5EF652C0"/>
    <w:rsid w:val="5F090D52"/>
    <w:rsid w:val="5F5F2613"/>
    <w:rsid w:val="5F620579"/>
    <w:rsid w:val="5F655FFC"/>
    <w:rsid w:val="5F755A55"/>
    <w:rsid w:val="5F974C8F"/>
    <w:rsid w:val="5FE12DC1"/>
    <w:rsid w:val="5FF94923"/>
    <w:rsid w:val="601F6EE8"/>
    <w:rsid w:val="609A755D"/>
    <w:rsid w:val="609E5775"/>
    <w:rsid w:val="60BD38B9"/>
    <w:rsid w:val="6106369E"/>
    <w:rsid w:val="61385310"/>
    <w:rsid w:val="616C7377"/>
    <w:rsid w:val="61700AA8"/>
    <w:rsid w:val="619D709E"/>
    <w:rsid w:val="61B47722"/>
    <w:rsid w:val="61CA4C2B"/>
    <w:rsid w:val="61F92804"/>
    <w:rsid w:val="62064EC9"/>
    <w:rsid w:val="62184632"/>
    <w:rsid w:val="621E0EDC"/>
    <w:rsid w:val="62692251"/>
    <w:rsid w:val="6299063F"/>
    <w:rsid w:val="62F35032"/>
    <w:rsid w:val="63095829"/>
    <w:rsid w:val="63282DB7"/>
    <w:rsid w:val="63CD67F3"/>
    <w:rsid w:val="64243529"/>
    <w:rsid w:val="64412D3D"/>
    <w:rsid w:val="646E2BC2"/>
    <w:rsid w:val="64C07069"/>
    <w:rsid w:val="654058CD"/>
    <w:rsid w:val="654E2973"/>
    <w:rsid w:val="65821B94"/>
    <w:rsid w:val="65E63B9C"/>
    <w:rsid w:val="6626208E"/>
    <w:rsid w:val="6685433C"/>
    <w:rsid w:val="66BE6947"/>
    <w:rsid w:val="66CA24BA"/>
    <w:rsid w:val="67020A98"/>
    <w:rsid w:val="67147A13"/>
    <w:rsid w:val="672B24E4"/>
    <w:rsid w:val="672B66B2"/>
    <w:rsid w:val="67380C93"/>
    <w:rsid w:val="678C2521"/>
    <w:rsid w:val="67981345"/>
    <w:rsid w:val="67D50BEB"/>
    <w:rsid w:val="680262FE"/>
    <w:rsid w:val="6820717A"/>
    <w:rsid w:val="68237D7F"/>
    <w:rsid w:val="68E63459"/>
    <w:rsid w:val="68F40C9F"/>
    <w:rsid w:val="69364F11"/>
    <w:rsid w:val="693B7D5A"/>
    <w:rsid w:val="696D6D1D"/>
    <w:rsid w:val="69954C8D"/>
    <w:rsid w:val="6A6E713B"/>
    <w:rsid w:val="6A9E2C97"/>
    <w:rsid w:val="6ACA412D"/>
    <w:rsid w:val="6AE664D5"/>
    <w:rsid w:val="6B1358A3"/>
    <w:rsid w:val="6B401357"/>
    <w:rsid w:val="6B4814CB"/>
    <w:rsid w:val="6B567CB2"/>
    <w:rsid w:val="6B985C70"/>
    <w:rsid w:val="6BFA7F30"/>
    <w:rsid w:val="6BFF1B26"/>
    <w:rsid w:val="6C014A58"/>
    <w:rsid w:val="6C4F2CC1"/>
    <w:rsid w:val="6CC85CBB"/>
    <w:rsid w:val="6CCB7647"/>
    <w:rsid w:val="6CE54BAD"/>
    <w:rsid w:val="6CED6ED6"/>
    <w:rsid w:val="6D086677"/>
    <w:rsid w:val="6D1D2B87"/>
    <w:rsid w:val="6D4B7285"/>
    <w:rsid w:val="6D6F4850"/>
    <w:rsid w:val="6DDC59C3"/>
    <w:rsid w:val="6DEC094F"/>
    <w:rsid w:val="6E140580"/>
    <w:rsid w:val="6E625D89"/>
    <w:rsid w:val="6E820ABF"/>
    <w:rsid w:val="6E8B1956"/>
    <w:rsid w:val="6EB423F5"/>
    <w:rsid w:val="6ED50C51"/>
    <w:rsid w:val="6EF87DC7"/>
    <w:rsid w:val="6EFC1516"/>
    <w:rsid w:val="6F5E5F76"/>
    <w:rsid w:val="6F5E62CE"/>
    <w:rsid w:val="6F7719BD"/>
    <w:rsid w:val="6FFC7F1A"/>
    <w:rsid w:val="7002780C"/>
    <w:rsid w:val="700A3C81"/>
    <w:rsid w:val="7045510A"/>
    <w:rsid w:val="7047552C"/>
    <w:rsid w:val="70562B34"/>
    <w:rsid w:val="70967857"/>
    <w:rsid w:val="70A95EF1"/>
    <w:rsid w:val="710776F3"/>
    <w:rsid w:val="711306DB"/>
    <w:rsid w:val="718545C4"/>
    <w:rsid w:val="719552C0"/>
    <w:rsid w:val="71DB032D"/>
    <w:rsid w:val="71F01276"/>
    <w:rsid w:val="72171A72"/>
    <w:rsid w:val="7283059F"/>
    <w:rsid w:val="728B2057"/>
    <w:rsid w:val="731C4DA5"/>
    <w:rsid w:val="7327004E"/>
    <w:rsid w:val="736C596A"/>
    <w:rsid w:val="73F35BAB"/>
    <w:rsid w:val="74606BF5"/>
    <w:rsid w:val="75484DC2"/>
    <w:rsid w:val="754A7B9D"/>
    <w:rsid w:val="75AB7711"/>
    <w:rsid w:val="75C05BD3"/>
    <w:rsid w:val="75C80696"/>
    <w:rsid w:val="75CE047D"/>
    <w:rsid w:val="75E5644F"/>
    <w:rsid w:val="761A455E"/>
    <w:rsid w:val="762D5FFA"/>
    <w:rsid w:val="763E3986"/>
    <w:rsid w:val="76C45833"/>
    <w:rsid w:val="775D45F3"/>
    <w:rsid w:val="777C0FE5"/>
    <w:rsid w:val="778E5E41"/>
    <w:rsid w:val="779D2B32"/>
    <w:rsid w:val="77AE702C"/>
    <w:rsid w:val="77B14ADF"/>
    <w:rsid w:val="77B4142F"/>
    <w:rsid w:val="77B90424"/>
    <w:rsid w:val="77DE3C48"/>
    <w:rsid w:val="77E32E96"/>
    <w:rsid w:val="780B1A26"/>
    <w:rsid w:val="78353509"/>
    <w:rsid w:val="78423980"/>
    <w:rsid w:val="786E6230"/>
    <w:rsid w:val="789A3A83"/>
    <w:rsid w:val="791A150E"/>
    <w:rsid w:val="791C5869"/>
    <w:rsid w:val="792B5B4F"/>
    <w:rsid w:val="793C10B2"/>
    <w:rsid w:val="794A1426"/>
    <w:rsid w:val="79520FC4"/>
    <w:rsid w:val="795564AA"/>
    <w:rsid w:val="79681967"/>
    <w:rsid w:val="79CE2B2B"/>
    <w:rsid w:val="79F857F4"/>
    <w:rsid w:val="7A36761F"/>
    <w:rsid w:val="7A3A6C1C"/>
    <w:rsid w:val="7A4F1BC1"/>
    <w:rsid w:val="7A804167"/>
    <w:rsid w:val="7A8F110E"/>
    <w:rsid w:val="7A9202D8"/>
    <w:rsid w:val="7AE7327A"/>
    <w:rsid w:val="7AF3334C"/>
    <w:rsid w:val="7B140FE8"/>
    <w:rsid w:val="7B1448AF"/>
    <w:rsid w:val="7B323FAA"/>
    <w:rsid w:val="7B5367FF"/>
    <w:rsid w:val="7BAA4093"/>
    <w:rsid w:val="7C51362C"/>
    <w:rsid w:val="7CAC6452"/>
    <w:rsid w:val="7CC944C6"/>
    <w:rsid w:val="7D570CC7"/>
    <w:rsid w:val="7DC92E1C"/>
    <w:rsid w:val="7DDE698C"/>
    <w:rsid w:val="7E4C610E"/>
    <w:rsid w:val="7E553E03"/>
    <w:rsid w:val="7E5D7BA8"/>
    <w:rsid w:val="7EEF7356"/>
    <w:rsid w:val="7EF71484"/>
    <w:rsid w:val="7EFB0260"/>
    <w:rsid w:val="7EFB49D6"/>
    <w:rsid w:val="7F247239"/>
    <w:rsid w:val="7F4E2D6B"/>
    <w:rsid w:val="7F98785D"/>
    <w:rsid w:val="7F9B559F"/>
    <w:rsid w:val="7FB633E8"/>
    <w:rsid w:val="7FBD2014"/>
    <w:rsid w:val="7FC81E84"/>
    <w:rsid w:val="7FD87CA2"/>
    <w:rsid w:val="7FEB2450"/>
    <w:rsid w:val="7FEC46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pPr>
      <w:spacing w:before="3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autoRedefine/>
    <w:qFormat/>
    <w:uiPriority w:val="1"/>
    <w:pPr>
      <w:ind w:left="176"/>
    </w:pPr>
    <w:rPr>
      <w:rFonts w:ascii="宋体" w:hAnsi="宋体" w:eastAsia="宋体" w:cs="宋体"/>
      <w:lang w:val="zh-CN" w:eastAsia="zh-CN" w:bidi="zh-CN"/>
    </w:rPr>
  </w:style>
  <w:style w:type="paragraph" w:customStyle="1" w:styleId="10">
    <w:name w:val="Table Paragraph"/>
    <w:basedOn w:val="1"/>
    <w:autoRedefine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4695</Words>
  <Characters>5002</Characters>
  <TotalTime>23</TotalTime>
  <ScaleCrop>false</ScaleCrop>
  <LinksUpToDate>false</LinksUpToDate>
  <CharactersWithSpaces>5011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2020-07-09T14:27:00Z</dcterms:created>
  <dc:creator>Administrator</dc:creator>
  <cp:lastModifiedBy>张婧</cp:lastModifiedBy>
  <cp:lastPrinted>2024-05-23T01:28:09Z</cp:lastPrinted>
  <dcterms:modified xsi:type="dcterms:W3CDTF">2024-05-23T01:28:28Z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2020-07-09T00:00:00Z</vt:filetime>
  </property>
  <property fmtid="{D5CDD505-2E9C-101B-9397-08002B2CF9AE}" pid="5" name="KSOProductBuildVer">
    <vt:lpwstr>2052-12.1.0.16929</vt:lpwstr>
  </property>
  <property fmtid="{D5CDD505-2E9C-101B-9397-08002B2CF9AE}" pid="6" name="ICV">
    <vt:lpwstr>CD5786EDD9EF4C3D9E3870561B28BCFD_13</vt:lpwstr>
  </property>
</Properties>
</file>