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jc w:val="center"/>
        <w:textAlignment w:val="auto"/>
        <w:rPr>
          <w:rFonts w:hint="eastAsia" w:ascii="宋体" w:hAnsi="宋体" w:eastAsia="宋体" w:cs="宋体"/>
          <w:b/>
          <w:bCs/>
          <w:color w:val="333399"/>
          <w:sz w:val="28"/>
          <w:szCs w:val="28"/>
        </w:rPr>
      </w:pPr>
      <w:r>
        <w:rPr>
          <w:rFonts w:hint="eastAsia" w:ascii="宋体" w:hAnsi="宋体" w:eastAsia="宋体" w:cs="宋体"/>
          <w:b/>
          <w:bCs/>
          <w:color w:val="333399"/>
          <w:sz w:val="28"/>
          <w:szCs w:val="28"/>
        </w:rPr>
        <w:t>中共中央关于制定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jc w:val="center"/>
        <w:textAlignment w:val="auto"/>
        <w:rPr>
          <w:rFonts w:hint="eastAsia" w:ascii="宋体" w:hAnsi="宋体" w:eastAsia="宋体" w:cs="宋体"/>
          <w:color w:val="333333"/>
          <w:sz w:val="28"/>
          <w:szCs w:val="28"/>
        </w:rPr>
      </w:pPr>
      <w:bookmarkStart w:id="0" w:name="_GoBack"/>
      <w:bookmarkEnd w:id="0"/>
      <w:r>
        <w:rPr>
          <w:rFonts w:hint="eastAsia" w:ascii="宋体" w:hAnsi="宋体" w:eastAsia="宋体" w:cs="宋体"/>
          <w:b/>
          <w:bCs/>
          <w:color w:val="333399"/>
          <w:sz w:val="28"/>
          <w:szCs w:val="28"/>
        </w:rPr>
        <w:t>国民经济和社会发展第十四个五年规划和二〇三五年远景目标的建议</w:t>
      </w:r>
      <w:r>
        <w:rPr>
          <w:rFonts w:hint="eastAsia" w:ascii="宋体" w:hAnsi="宋体" w:eastAsia="宋体" w:cs="宋体"/>
          <w:color w:val="333399"/>
          <w:sz w:val="28"/>
          <w:szCs w:val="28"/>
        </w:rPr>
        <w:br w:type="textWrapping"/>
      </w:r>
      <w:r>
        <w:rPr>
          <w:rFonts w:hint="eastAsia" w:ascii="宋体" w:hAnsi="宋体" w:eastAsia="宋体" w:cs="宋体"/>
          <w:color w:val="333399"/>
          <w:sz w:val="28"/>
          <w:szCs w:val="28"/>
        </w:rPr>
        <w:t>（2020年10月29日中国共产党第十九届中央委员会第五次全体会议通过）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一、全面建成小康社会，开启全面建设社会主义现代化国家新征程</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二、“十四五”时期经济社会发展指导方针和主要目标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5.“十四五”时期经济社会发展必须遵循的原则。</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——坚持党的全面领导。坚持和完善党领导经济社会发展的体制机制，坚持和完善中国特色社会主义制度，不断提高贯彻新发展理念、构建新发展格局能力和水平，为实现高质量发展提供根本保证。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——坚持新发展理念。把新发展理念贯穿发展全过程和各领域，构建新发展格局，切实转变发展方式，推动质量变革、效率变革、动力变革，实现更高质量、更有效率、更加公平、更可持续、更为安全的发展。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三、坚持创新驱动发展，全面塑造发展新优势</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四、加快发展现代产业体系，推动经济体系优化升级</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坚持把发展经济着力点放在实体经济上，坚定不移建设制造强国、质量强国、网络强国、数字中国，推进产业基础高级化、产业链现代化，提高经济质量效益和核心竞争力。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五、形成强大国内市场，构建新发展格局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坚持扩大内需这个战略基点，加快培育完整内需体系，把实施扩大内需战略同深化供给侧结构性改革有机结合起来，以创新驱动、高质量供给引领和创造新需求。</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六、全面深化改革，构建高水平社会主义市场经济体制</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坚持和完善社会主义基本经济制度，充分发挥市场在资源配置中的决定性作用，更好发挥政府作用，推动有效市场和有为政府更好结合。</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七、优先发展农业农村，全面推进乡村振兴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八、优化国土空间布局，推进区域协调发展和新型城镇化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坚持实施区域重大战略、区域协调发展战略、主体功能区战略，健全区域协调发展体制机制，完善新型城镇化战略，构建高质量发展的国土空间布局和支撑体系。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九、繁荣发展文化事业和文化产业，提高国家文化软实力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十、推动绿色发展，促进人与自然和谐共生</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十一、实行高水平对外开放，开拓合作共赢新局面</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坚持实施更大范围、更宽领域、更深层次对外开放，依托我国大市场优势，促进国际合作，实现互利共赢。</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十二、改善人民生活品质，提高社会建设水平</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十三、统筹发展和安全，建设更高水平的平安中国</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坚持总体国家安全观，实施国家安全战略，维护和塑造国家安全，统筹传统安全和非传统安全，把安全发展贯穿国家发展各领域和全过程，防范和化解影响我国现代化进程的各种风险，筑牢国家安全屏障。</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十四、加快国防和军队现代化，实现富国和强军相统一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333333"/>
          <w:sz w:val="28"/>
          <w:szCs w:val="28"/>
        </w:rPr>
      </w:pPr>
      <w:r>
        <w:rPr>
          <w:rStyle w:val="5"/>
          <w:rFonts w:hint="eastAsia" w:ascii="宋体" w:hAnsi="宋体" w:eastAsia="宋体" w:cs="宋体"/>
          <w:color w:val="333333"/>
          <w:sz w:val="28"/>
          <w:szCs w:val="28"/>
        </w:rPr>
        <w:t>十五、全党全国各族人民团结起来，为实现“十四五”规划和二〇三五年远景目标而奋斗</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实现“十四五”规划和二〇三五年远景目标，必须坚持党的全面领导，充分调动一切积极因素，广泛团结一切可以团结的力量，形成推动发展的强大合力。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实现“十四五”规划和二〇三五年远景目标，意义重大，任务艰巨，前景光明。全党全国各族人民要紧密团结在以习近平同志为核心的党中央周围，同心同德，顽强奋斗，夺取全面建设社会主义现代化国家新胜利！</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6F"/>
    <w:rsid w:val="0002116F"/>
    <w:rsid w:val="3859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3040</Words>
  <Characters>17331</Characters>
  <Lines>144</Lines>
  <Paragraphs>40</Paragraphs>
  <TotalTime>1</TotalTime>
  <ScaleCrop>false</ScaleCrop>
  <LinksUpToDate>false</LinksUpToDate>
  <CharactersWithSpaces>20331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2021-02-05T05:47:00Z</dcterms:created>
  <dc:creator>经管学工</dc:creator>
  <cp:lastModifiedBy>段丽娜</cp:lastModifiedBy>
  <dcterms:modified xsi:type="dcterms:W3CDTF">2021-02-28T07:41:45Z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