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教育部关于印发《高等学校课程思政建设指导纲要》的通知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教高〔2020〕3号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各省、自治区、直辖市教育厅（教委），新疆生产建设兵团教育局，有关部门（单位）教育司（局），部属各高等学校、部省合建各高等学校：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《高等学校课程思政建设指导纲要》已经教育部党组会议审议通过，现印发给你们，请结合实际认真贯彻执行。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2020年5月28日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高等学校课程思政建设指导纲要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一、全面推进课程思政建设是落实立德树人根本任务的战略举措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二、课程思政建设是全面提高人才培养质量的重要任务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三、明确课程思政建设目标要求和内容重点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——加强中华优秀传统文化教育。大力弘扬以爱国主义为核心的民族精神和以改革创新为核心的时代精神，教育引导学生深刻理解中华优秀传统文化中讲仁爱、重民本、守诚信、崇正义、尚和合、求大同的思想</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精华和时代价值，教育引导学生传承中华文脉，富有中国心、饱含中国情、充满中国味。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四、科学设计课程思政教学体系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五、结合专业特点分类推进课程思政建设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专业课程是课程思政建设的基本载体。要深入梳理专业课教学内容，结合不同课程特点、思维方法和价值理念，深入挖掘课程思政元素，有机融入课程教学，达到润物无声的育人效果。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高等职业学校要结合高职专业分类和课程设置情况，落实好分类推进相关要求。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六、将课程思政融入课堂教学建设全过程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七、提升教师课程思政建设的意识和能力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八、建立健全课程思政建设质量评价体系和激励机制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九、加强课程思政建设组织实施和条件保障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D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2021-04-16T03:59:04Z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B7873514D813497CBE7358FB7B13F333</vt:lpwstr>
  </property>
</Properties>
</file>