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firstLineChars="200"/>
        <w:jc w:val="center"/>
        <w:rPr>
          <w:rFonts w:ascii="Times New Roman" w:hAnsi="Times New Roman" w:eastAsia="仿宋_GB2312"/>
          <w:sz w:val="32"/>
          <w:szCs w:val="32"/>
        </w:rPr>
      </w:pPr>
      <w:r>
        <w:rPr>
          <w:rFonts w:ascii="Times New Roman" w:hAnsi="Times New Roman" w:eastAsia="仿宋_GB2312"/>
          <w:b/>
          <w:bCs/>
          <w:sz w:val="36"/>
          <w:szCs w:val="36"/>
        </w:rPr>
        <w:t>关于组织做好职业院校专业人才培养方案制订与实施工作的通知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教职成司函〔2019〕61号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各省、自治区、直辖市教育厅（教委），各计划单列市教育局，新疆生产建设兵团教育局，各行指委（教指委），有关单位：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贯彻《国家职业教育改革实施方案》，落实《教育部关于职业院校专业人才培养方案制订与实施工作的指导意见》（以下简称《指导意见》），组织职业院校做好专业人才培养方案制订与实施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一、各地要及时开展宣讲解读，组织指导本地区职业院校根据《指导意见》要求，对接国家教学标准，做好专业人才培养方案的制订工作。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二、各行指委（教指委）要把宣传解读《指导意见》、开展有关研讨活动、交流专业人才培养方案制订工作经验做法纳入到年度重点工作安排。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根据《指导意见》、专业教学标准和调研工作基础，我司组织研制了《职业院校专业人才培养方案参考格式及有关说明》（见附件）。职业院校应参考有关内容，结合区域经济发展需求和本校办学实际，制订体现不同专业类别特点的专业人才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四、自2019年秋季学期起，各职业院校原则上应实施根据《指导意见》和本通知要求新制（修）订的专业人才培养方案。本科层次职业教育试点学校参考实施。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请各省级教育行政部门于2019年8月底前将本地区贯彻落实《指导意见》的有关政策举措和职业院校专业人才培养方案制订情况报教育部职业教育与成人教育司，并建立抽查制度，对职业院校专业人才培养方案制订、公开和实施情况定期检查评价，公布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附件：</w:t>
      </w: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"http://www.moe.gov.cn/s78/A07/A07_sjhj/201906/W020190618552250181360.docx" \t "http://www.moe.gov.cn/s78/A07/A07_sjhj/201906/_blank"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5"/>
          <w:rFonts w:hint="eastAsia" w:ascii="微软雅黑" w:hAnsi="微软雅黑" w:eastAsia="微软雅黑" w:cs="微软雅黑"/>
          <w:i w:val="0"/>
          <w:iCs w:val="0"/>
          <w:caps w:val="0"/>
          <w:color w:val="0000FF"/>
          <w:spacing w:val="0"/>
          <w:sz w:val="24"/>
          <w:szCs w:val="24"/>
          <w:u w:val="none"/>
          <w:bdr w:val="none" w:color="auto" w:sz="0" w:space="0"/>
        </w:rPr>
        <w:t>职业院校专业人才培养方案参考格式及有关说明</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教育部职业教育与成人教育司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2019年6月5日</w:t>
      </w:r>
    </w:p>
    <w:p>
      <w:r>
        <w:br w:type="page"/>
      </w:r>
    </w:p>
    <w:p>
      <w:pPr>
        <w:pStyle w:val="6"/>
        <w:overflowPunct w:val="0"/>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pPr>
        <w:overflowPunct w:val="0"/>
        <w:adjustRightInd w:val="0"/>
        <w:rPr>
          <w:szCs w:val="32"/>
        </w:rPr>
      </w:pPr>
    </w:p>
    <w:p>
      <w:pPr>
        <w:overflowPunct w:val="0"/>
        <w:adjustRightInd w:val="0"/>
        <w:snapToGrid w:val="0"/>
        <w:jc w:val="center"/>
        <w:rPr>
          <w:rFonts w:hint="eastAsia" w:eastAsia="方正小标宋简体"/>
          <w:sz w:val="44"/>
          <w:szCs w:val="44"/>
        </w:rPr>
      </w:pPr>
      <w:r>
        <w:rPr>
          <w:rFonts w:eastAsia="方正小标宋简体"/>
          <w:sz w:val="44"/>
          <w:szCs w:val="44"/>
        </w:rPr>
        <w:t>职业院校专业人才培养方案</w:t>
      </w:r>
    </w:p>
    <w:p>
      <w:pPr>
        <w:overflowPunct w:val="0"/>
        <w:adjustRightInd w:val="0"/>
        <w:snapToGrid w:val="0"/>
        <w:jc w:val="center"/>
        <w:rPr>
          <w:rFonts w:eastAsia="方正小标宋简体"/>
          <w:sz w:val="44"/>
          <w:szCs w:val="44"/>
        </w:rPr>
      </w:pPr>
      <w:r>
        <w:rPr>
          <w:rFonts w:eastAsia="方正小标宋简体"/>
          <w:sz w:val="44"/>
          <w:szCs w:val="44"/>
        </w:rPr>
        <w:t>参考格式及有关说明</w:t>
      </w:r>
    </w:p>
    <w:p>
      <w:pPr>
        <w:overflowPunct w:val="0"/>
        <w:ind w:firstLine="480" w:firstLineChars="200"/>
        <w:rPr>
          <w:sz w:val="24"/>
          <w:szCs w:val="24"/>
        </w:rPr>
      </w:pPr>
    </w:p>
    <w:p>
      <w:pPr>
        <w:overflowPunct w:val="0"/>
        <w:adjustRightInd w:val="0"/>
        <w:ind w:firstLine="480" w:firstLineChars="200"/>
        <w:outlineLvl w:val="0"/>
        <w:rPr>
          <w:rFonts w:eastAsia="黑体"/>
          <w:sz w:val="24"/>
          <w:szCs w:val="24"/>
        </w:rPr>
      </w:pPr>
      <w:r>
        <w:rPr>
          <w:rFonts w:eastAsia="黑体"/>
          <w:sz w:val="24"/>
          <w:szCs w:val="24"/>
        </w:rPr>
        <w:t>一、专业名称及代码</w:t>
      </w:r>
    </w:p>
    <w:p>
      <w:pPr>
        <w:overflowPunct w:val="0"/>
        <w:adjustRightInd w:val="0"/>
        <w:ind w:firstLine="480" w:firstLineChars="200"/>
        <w:rPr>
          <w:rFonts w:eastAsia="方正仿宋简体"/>
          <w:sz w:val="24"/>
          <w:szCs w:val="24"/>
        </w:rPr>
      </w:pPr>
      <w:r>
        <w:rPr>
          <w:rFonts w:eastAsia="方正仿宋简体"/>
          <w:sz w:val="24"/>
          <w:szCs w:val="24"/>
        </w:rPr>
        <w:t>对照中、高职现行专业目录规范表述。</w:t>
      </w:r>
    </w:p>
    <w:p>
      <w:pPr>
        <w:overflowPunct w:val="0"/>
        <w:adjustRightInd w:val="0"/>
        <w:ind w:firstLine="480" w:firstLineChars="200"/>
        <w:outlineLvl w:val="0"/>
        <w:rPr>
          <w:rFonts w:eastAsia="黑体"/>
          <w:sz w:val="24"/>
          <w:szCs w:val="24"/>
        </w:rPr>
      </w:pPr>
      <w:r>
        <w:rPr>
          <w:rFonts w:eastAsia="黑体"/>
          <w:sz w:val="24"/>
          <w:szCs w:val="24"/>
        </w:rPr>
        <w:t>二、入学要求</w:t>
      </w:r>
    </w:p>
    <w:p>
      <w:pPr>
        <w:overflowPunct w:val="0"/>
        <w:adjustRightInd w:val="0"/>
        <w:ind w:firstLine="480" w:firstLineChars="200"/>
        <w:rPr>
          <w:rFonts w:eastAsia="方正仿宋简体"/>
          <w:sz w:val="24"/>
          <w:szCs w:val="24"/>
        </w:rPr>
      </w:pPr>
      <w:r>
        <w:rPr>
          <w:rFonts w:eastAsia="方正仿宋简体"/>
          <w:sz w:val="24"/>
          <w:szCs w:val="24"/>
        </w:rPr>
        <w:t>中等职业学校学历教育入学要求一般为初中毕业生或具有同等学力者。</w:t>
      </w:r>
    </w:p>
    <w:p>
      <w:pPr>
        <w:overflowPunct w:val="0"/>
        <w:adjustRightInd w:val="0"/>
        <w:ind w:firstLine="480" w:firstLineChars="200"/>
        <w:rPr>
          <w:rFonts w:eastAsia="方正仿宋简体"/>
          <w:sz w:val="24"/>
          <w:szCs w:val="24"/>
        </w:rPr>
      </w:pPr>
      <w:r>
        <w:rPr>
          <w:rFonts w:eastAsia="方正仿宋简体"/>
          <w:sz w:val="24"/>
          <w:szCs w:val="24"/>
        </w:rPr>
        <w:t>高等职业学校学历教育入学要求一般为高中阶段教育毕业生或具有同等学力者。</w:t>
      </w:r>
    </w:p>
    <w:p>
      <w:pPr>
        <w:overflowPunct w:val="0"/>
        <w:adjustRightInd w:val="0"/>
        <w:ind w:firstLine="480" w:firstLineChars="200"/>
        <w:outlineLvl w:val="0"/>
        <w:rPr>
          <w:rFonts w:eastAsia="黑体"/>
          <w:sz w:val="24"/>
          <w:szCs w:val="24"/>
        </w:rPr>
      </w:pPr>
      <w:r>
        <w:rPr>
          <w:rFonts w:eastAsia="黑体"/>
          <w:sz w:val="24"/>
          <w:szCs w:val="24"/>
        </w:rPr>
        <w:t>三、修业年限</w:t>
      </w:r>
    </w:p>
    <w:p>
      <w:pPr>
        <w:overflowPunct w:val="0"/>
        <w:adjustRightInd w:val="0"/>
        <w:ind w:firstLine="480" w:firstLineChars="200"/>
        <w:rPr>
          <w:rFonts w:eastAsia="方正仿宋简体"/>
          <w:sz w:val="24"/>
          <w:szCs w:val="24"/>
        </w:rPr>
      </w:pPr>
      <w:r>
        <w:rPr>
          <w:rFonts w:eastAsia="方正仿宋简体"/>
          <w:sz w:val="24"/>
          <w:szCs w:val="24"/>
        </w:rPr>
        <w:t>中、高职学历教育修业年限均以3年为主，可以根据学生灵活学习需求合理、弹性安排学习时间。</w:t>
      </w:r>
    </w:p>
    <w:p>
      <w:pPr>
        <w:overflowPunct w:val="0"/>
        <w:adjustRightInd w:val="0"/>
        <w:ind w:firstLine="480" w:firstLineChars="200"/>
        <w:outlineLvl w:val="0"/>
        <w:rPr>
          <w:rFonts w:eastAsia="黑体"/>
          <w:sz w:val="24"/>
          <w:szCs w:val="24"/>
        </w:rPr>
      </w:pPr>
      <w:r>
        <w:rPr>
          <w:rFonts w:eastAsia="黑体"/>
          <w:sz w:val="24"/>
          <w:szCs w:val="24"/>
        </w:rPr>
        <w:t>四、职业面向</w:t>
      </w:r>
    </w:p>
    <w:p>
      <w:pPr>
        <w:overflowPunct w:val="0"/>
        <w:adjustRightInd w:val="0"/>
        <w:ind w:firstLine="480" w:firstLineChars="200"/>
        <w:rPr>
          <w:rFonts w:eastAsia="方正仿宋简体"/>
          <w:sz w:val="24"/>
          <w:szCs w:val="24"/>
        </w:rPr>
      </w:pPr>
      <w:r>
        <w:rPr>
          <w:rFonts w:eastAsia="方正仿宋简体"/>
          <w:sz w:val="24"/>
          <w:szCs w:val="24"/>
        </w:rPr>
        <w:t>可以表格的形式呈现。包括本专业所属专业大类（专业类）及代码，本专业所对应的行业、主要职业类别、主要岗位类别（或技术领域）、职业技能等级证书、社会认可度高的行业企业标准和证书举例。</w:t>
      </w:r>
    </w:p>
    <w:p>
      <w:pPr>
        <w:overflowPunct w:val="0"/>
        <w:adjustRightInd w:val="0"/>
        <w:ind w:firstLine="480" w:firstLineChars="200"/>
        <w:outlineLvl w:val="0"/>
        <w:rPr>
          <w:rFonts w:eastAsia="黑体"/>
          <w:sz w:val="24"/>
          <w:szCs w:val="24"/>
        </w:rPr>
      </w:pPr>
      <w:r>
        <w:rPr>
          <w:rFonts w:eastAsia="黑体"/>
          <w:sz w:val="24"/>
          <w:szCs w:val="24"/>
        </w:rPr>
        <w:t>五、培养目标与培养规格</w:t>
      </w:r>
    </w:p>
    <w:p>
      <w:pPr>
        <w:overflowPunct w:val="0"/>
        <w:adjustRightInd w:val="0"/>
        <w:ind w:firstLine="482" w:firstLineChars="200"/>
        <w:outlineLvl w:val="0"/>
        <w:rPr>
          <w:rFonts w:eastAsia="楷体_GB2312"/>
          <w:b/>
          <w:sz w:val="24"/>
          <w:szCs w:val="24"/>
        </w:rPr>
      </w:pPr>
      <w:r>
        <w:rPr>
          <w:rFonts w:eastAsia="楷体_GB2312"/>
          <w:b/>
          <w:sz w:val="24"/>
          <w:szCs w:val="24"/>
        </w:rPr>
        <w:t>（一）培养目标</w:t>
      </w:r>
    </w:p>
    <w:p>
      <w:pPr>
        <w:overflowPunct w:val="0"/>
        <w:adjustRightInd w:val="0"/>
        <w:ind w:firstLine="480" w:firstLineChars="200"/>
        <w:rPr>
          <w:rFonts w:eastAsia="方正仿宋简体"/>
          <w:sz w:val="24"/>
          <w:szCs w:val="24"/>
        </w:rPr>
      </w:pPr>
      <w:r>
        <w:rPr>
          <w:rFonts w:eastAsia="方正仿宋简体"/>
          <w:sz w:val="24"/>
          <w:szCs w:val="24"/>
        </w:rPr>
        <w:t>中、高职根据各自的办学层次和办学定位，参照国家专业教学标准，科学合理确定本专业人才培养目标。</w:t>
      </w:r>
    </w:p>
    <w:p>
      <w:pPr>
        <w:overflowPunct w:val="0"/>
        <w:adjustRightInd w:val="0"/>
        <w:ind w:firstLine="482" w:firstLineChars="200"/>
        <w:outlineLvl w:val="0"/>
        <w:rPr>
          <w:rFonts w:eastAsia="楷体_GB2312"/>
          <w:b/>
          <w:sz w:val="24"/>
          <w:szCs w:val="24"/>
        </w:rPr>
      </w:pPr>
      <w:r>
        <w:rPr>
          <w:rFonts w:eastAsia="楷体_GB2312"/>
          <w:b/>
          <w:sz w:val="24"/>
          <w:szCs w:val="24"/>
        </w:rPr>
        <w:t>（二）培养规格</w:t>
      </w:r>
    </w:p>
    <w:p>
      <w:pPr>
        <w:overflowPunct w:val="0"/>
        <w:adjustRightInd w:val="0"/>
        <w:ind w:firstLine="480" w:firstLineChars="200"/>
        <w:rPr>
          <w:rFonts w:eastAsia="方正仿宋简体"/>
          <w:sz w:val="24"/>
          <w:szCs w:val="24"/>
        </w:rPr>
      </w:pPr>
      <w:r>
        <w:rPr>
          <w:rFonts w:eastAsia="方正仿宋简体"/>
          <w:sz w:val="24"/>
          <w:szCs w:val="24"/>
        </w:rPr>
        <w:t>本专业毕业生应具备的素质、知识和能力等方面的要求，应将本专业所特有的，有别于其他专业的职业素养要求纳入。</w:t>
      </w:r>
    </w:p>
    <w:p>
      <w:pPr>
        <w:overflowPunct w:val="0"/>
        <w:adjustRightInd w:val="0"/>
        <w:ind w:firstLine="480" w:firstLineChars="200"/>
        <w:outlineLvl w:val="0"/>
        <w:rPr>
          <w:rFonts w:eastAsia="黑体"/>
          <w:sz w:val="24"/>
          <w:szCs w:val="24"/>
        </w:rPr>
      </w:pPr>
      <w:r>
        <w:rPr>
          <w:rFonts w:eastAsia="黑体"/>
          <w:sz w:val="24"/>
          <w:szCs w:val="24"/>
        </w:rPr>
        <w:t>六、课程设置及要求</w:t>
      </w:r>
    </w:p>
    <w:p>
      <w:pPr>
        <w:overflowPunct w:val="0"/>
        <w:adjustRightInd w:val="0"/>
        <w:ind w:firstLine="480" w:firstLineChars="200"/>
        <w:rPr>
          <w:rFonts w:eastAsia="方正仿宋简体"/>
          <w:sz w:val="24"/>
          <w:szCs w:val="24"/>
        </w:rPr>
      </w:pPr>
      <w:r>
        <w:rPr>
          <w:rFonts w:eastAsia="方正仿宋简体"/>
          <w:sz w:val="24"/>
          <w:szCs w:val="24"/>
        </w:rPr>
        <w:t>主要包括公共基础课程和专业（技能）课程。</w:t>
      </w:r>
    </w:p>
    <w:p>
      <w:pPr>
        <w:overflowPunct w:val="0"/>
        <w:adjustRightInd w:val="0"/>
        <w:ind w:firstLine="482" w:firstLineChars="200"/>
        <w:outlineLvl w:val="0"/>
        <w:rPr>
          <w:rFonts w:eastAsia="楷体_GB2312"/>
          <w:b/>
          <w:sz w:val="24"/>
          <w:szCs w:val="24"/>
        </w:rPr>
      </w:pPr>
      <w:r>
        <w:rPr>
          <w:rFonts w:eastAsia="楷体_GB2312"/>
          <w:b/>
          <w:sz w:val="24"/>
          <w:szCs w:val="24"/>
        </w:rPr>
        <w:t>（一）公共基础课程</w:t>
      </w:r>
    </w:p>
    <w:p>
      <w:pPr>
        <w:overflowPunct w:val="0"/>
        <w:adjustRightInd w:val="0"/>
        <w:ind w:firstLine="480" w:firstLineChars="200"/>
        <w:rPr>
          <w:rFonts w:eastAsia="方正仿宋简体"/>
          <w:sz w:val="24"/>
          <w:szCs w:val="24"/>
        </w:rPr>
      </w:pPr>
      <w:r>
        <w:rPr>
          <w:rFonts w:eastAsia="方正仿宋简体"/>
          <w:sz w:val="24"/>
          <w:szCs w:val="24"/>
        </w:rPr>
        <w:t>应准确描述各门课程的课程目标、主要内容和教学要求，落实国家有关规定和要求。</w:t>
      </w:r>
    </w:p>
    <w:p>
      <w:pPr>
        <w:overflowPunct w:val="0"/>
        <w:adjustRightInd w:val="0"/>
        <w:ind w:firstLine="482" w:firstLineChars="200"/>
        <w:outlineLvl w:val="0"/>
        <w:rPr>
          <w:rFonts w:eastAsia="楷体_GB2312"/>
          <w:b/>
          <w:sz w:val="24"/>
          <w:szCs w:val="24"/>
        </w:rPr>
      </w:pPr>
      <w:r>
        <w:rPr>
          <w:rFonts w:eastAsia="楷体_GB2312"/>
          <w:b/>
          <w:sz w:val="24"/>
          <w:szCs w:val="24"/>
        </w:rPr>
        <w:t>（二）专业（技能）课程</w:t>
      </w:r>
    </w:p>
    <w:p>
      <w:pPr>
        <w:overflowPunct w:val="0"/>
        <w:adjustRightInd w:val="0"/>
        <w:ind w:firstLine="480" w:firstLineChars="200"/>
        <w:rPr>
          <w:rFonts w:eastAsia="方正仿宋简体"/>
          <w:sz w:val="24"/>
          <w:szCs w:val="24"/>
        </w:rPr>
      </w:pPr>
      <w:r>
        <w:rPr>
          <w:rFonts w:eastAsia="方正仿宋简体"/>
          <w:sz w:val="24"/>
          <w:szCs w:val="24"/>
        </w:rPr>
        <w:t>应准确描述各门课程的课程目标、主要内容和教学要求，增强可操作性。</w:t>
      </w:r>
    </w:p>
    <w:p>
      <w:pPr>
        <w:overflowPunct w:val="0"/>
        <w:adjustRightInd w:val="0"/>
        <w:ind w:firstLine="480" w:firstLineChars="200"/>
        <w:outlineLvl w:val="0"/>
        <w:rPr>
          <w:rFonts w:eastAsia="黑体"/>
          <w:sz w:val="24"/>
          <w:szCs w:val="24"/>
        </w:rPr>
      </w:pPr>
      <w:r>
        <w:rPr>
          <w:rFonts w:eastAsia="黑体"/>
          <w:sz w:val="24"/>
          <w:szCs w:val="24"/>
        </w:rPr>
        <w:t>七、教学进程总体安排</w:t>
      </w:r>
    </w:p>
    <w:p>
      <w:pPr>
        <w:overflowPunct w:val="0"/>
        <w:adjustRightInd w:val="0"/>
        <w:ind w:firstLine="480" w:firstLineChars="200"/>
        <w:rPr>
          <w:rFonts w:eastAsia="方正仿宋简体"/>
          <w:sz w:val="24"/>
          <w:szCs w:val="24"/>
        </w:rPr>
      </w:pPr>
      <w:r>
        <w:rPr>
          <w:rFonts w:eastAsia="方正仿宋简体"/>
          <w:sz w:val="24"/>
          <w:szCs w:val="24"/>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overflowPunct w:val="0"/>
        <w:adjustRightInd w:val="0"/>
        <w:ind w:firstLine="480" w:firstLineChars="200"/>
        <w:outlineLvl w:val="0"/>
        <w:rPr>
          <w:rFonts w:eastAsia="黑体"/>
          <w:sz w:val="24"/>
          <w:szCs w:val="24"/>
        </w:rPr>
      </w:pPr>
      <w:r>
        <w:rPr>
          <w:rFonts w:eastAsia="黑体"/>
          <w:sz w:val="24"/>
          <w:szCs w:val="24"/>
        </w:rPr>
        <w:t>八、实施保障</w:t>
      </w:r>
    </w:p>
    <w:p>
      <w:pPr>
        <w:overflowPunct w:val="0"/>
        <w:adjustRightInd w:val="0"/>
        <w:ind w:firstLine="480" w:firstLineChars="200"/>
        <w:rPr>
          <w:rFonts w:eastAsia="方正仿宋简体"/>
          <w:sz w:val="24"/>
          <w:szCs w:val="24"/>
        </w:rPr>
      </w:pPr>
      <w:r>
        <w:rPr>
          <w:rFonts w:eastAsia="方正仿宋简体"/>
          <w:sz w:val="24"/>
          <w:szCs w:val="24"/>
        </w:rPr>
        <w:t>主要包括师资队伍、教学设施、教学资源、教学方法、学习评价、质量管理等方面。</w:t>
      </w:r>
    </w:p>
    <w:p>
      <w:pPr>
        <w:overflowPunct w:val="0"/>
        <w:adjustRightInd w:val="0"/>
        <w:ind w:firstLine="482" w:firstLineChars="200"/>
        <w:outlineLvl w:val="0"/>
        <w:rPr>
          <w:rFonts w:eastAsia="楷体_GB2312"/>
          <w:b/>
          <w:sz w:val="24"/>
          <w:szCs w:val="24"/>
        </w:rPr>
      </w:pPr>
      <w:r>
        <w:rPr>
          <w:rFonts w:eastAsia="楷体_GB2312"/>
          <w:b/>
          <w:sz w:val="24"/>
          <w:szCs w:val="24"/>
        </w:rPr>
        <w:t>（一）师资队伍</w:t>
      </w:r>
    </w:p>
    <w:p>
      <w:pPr>
        <w:overflowPunct w:val="0"/>
        <w:adjustRightInd w:val="0"/>
        <w:ind w:firstLine="480" w:firstLineChars="200"/>
        <w:rPr>
          <w:rFonts w:eastAsia="方正仿宋简体"/>
          <w:sz w:val="24"/>
          <w:szCs w:val="24"/>
        </w:rPr>
      </w:pPr>
      <w:r>
        <w:rPr>
          <w:rFonts w:eastAsia="方正仿宋简体"/>
          <w:sz w:val="24"/>
          <w:szCs w:val="24"/>
        </w:rPr>
        <w:t>对专兼职教师的数量、结构、素质等提出有关要求。</w:t>
      </w:r>
    </w:p>
    <w:p>
      <w:pPr>
        <w:overflowPunct w:val="0"/>
        <w:adjustRightInd w:val="0"/>
        <w:ind w:firstLine="482" w:firstLineChars="200"/>
        <w:outlineLvl w:val="0"/>
        <w:rPr>
          <w:rFonts w:eastAsia="楷体_GB2312"/>
          <w:b/>
          <w:sz w:val="24"/>
          <w:szCs w:val="24"/>
        </w:rPr>
      </w:pPr>
      <w:r>
        <w:rPr>
          <w:rFonts w:eastAsia="楷体_GB2312"/>
          <w:b/>
          <w:sz w:val="24"/>
          <w:szCs w:val="24"/>
        </w:rPr>
        <w:t>（二）教学设施</w:t>
      </w:r>
    </w:p>
    <w:p>
      <w:pPr>
        <w:overflowPunct w:val="0"/>
        <w:adjustRightInd w:val="0"/>
        <w:ind w:firstLine="480" w:firstLineChars="200"/>
        <w:rPr>
          <w:rFonts w:eastAsia="方正仿宋简体"/>
          <w:sz w:val="24"/>
          <w:szCs w:val="24"/>
        </w:rPr>
      </w:pPr>
      <w:r>
        <w:rPr>
          <w:rFonts w:eastAsia="方正仿宋简体"/>
          <w:sz w:val="24"/>
          <w:szCs w:val="24"/>
        </w:rPr>
        <w:t>对教室，校内、校外实习实训基地等提出有关要求。</w:t>
      </w:r>
    </w:p>
    <w:p>
      <w:pPr>
        <w:overflowPunct w:val="0"/>
        <w:adjustRightInd w:val="0"/>
        <w:ind w:firstLine="482" w:firstLineChars="200"/>
        <w:outlineLvl w:val="0"/>
        <w:rPr>
          <w:rFonts w:eastAsia="楷体_GB2312"/>
          <w:b/>
          <w:sz w:val="24"/>
          <w:szCs w:val="24"/>
        </w:rPr>
      </w:pPr>
      <w:r>
        <w:rPr>
          <w:rFonts w:eastAsia="楷体_GB2312"/>
          <w:b/>
          <w:sz w:val="24"/>
          <w:szCs w:val="24"/>
        </w:rPr>
        <w:t>（三）教学资源</w:t>
      </w:r>
    </w:p>
    <w:p>
      <w:pPr>
        <w:overflowPunct w:val="0"/>
        <w:adjustRightInd w:val="0"/>
        <w:ind w:firstLine="480" w:firstLineChars="200"/>
        <w:rPr>
          <w:rFonts w:eastAsia="方正仿宋简体"/>
          <w:sz w:val="24"/>
          <w:szCs w:val="24"/>
        </w:rPr>
      </w:pPr>
      <w:r>
        <w:rPr>
          <w:rFonts w:eastAsia="方正仿宋简体"/>
          <w:sz w:val="24"/>
          <w:szCs w:val="24"/>
        </w:rPr>
        <w:t>对教材选用、图书文献配备、数字资源配备等提出有关要求。</w:t>
      </w:r>
    </w:p>
    <w:p>
      <w:pPr>
        <w:overflowPunct w:val="0"/>
        <w:adjustRightInd w:val="0"/>
        <w:ind w:firstLine="482" w:firstLineChars="200"/>
        <w:outlineLvl w:val="0"/>
        <w:rPr>
          <w:rFonts w:eastAsia="楷体_GB2312"/>
          <w:b/>
          <w:sz w:val="24"/>
          <w:szCs w:val="24"/>
        </w:rPr>
      </w:pPr>
      <w:r>
        <w:rPr>
          <w:rFonts w:eastAsia="楷体_GB2312"/>
          <w:b/>
          <w:sz w:val="24"/>
          <w:szCs w:val="24"/>
        </w:rPr>
        <w:t>（四）教学方法</w:t>
      </w:r>
    </w:p>
    <w:p>
      <w:pPr>
        <w:overflowPunct w:val="0"/>
        <w:adjustRightInd w:val="0"/>
        <w:ind w:firstLine="480" w:firstLineChars="200"/>
        <w:rPr>
          <w:rFonts w:eastAsia="方正仿宋简体"/>
          <w:sz w:val="24"/>
          <w:szCs w:val="24"/>
        </w:rPr>
      </w:pPr>
      <w:r>
        <w:rPr>
          <w:rFonts w:eastAsia="方正仿宋简体"/>
          <w:sz w:val="24"/>
          <w:szCs w:val="24"/>
        </w:rPr>
        <w:t>对实施教学应采取的方法提出要求和建议。</w:t>
      </w:r>
    </w:p>
    <w:p>
      <w:pPr>
        <w:overflowPunct w:val="0"/>
        <w:adjustRightInd w:val="0"/>
        <w:ind w:firstLine="482" w:firstLineChars="200"/>
        <w:outlineLvl w:val="0"/>
        <w:rPr>
          <w:rFonts w:eastAsia="楷体_GB2312"/>
          <w:b/>
          <w:sz w:val="24"/>
          <w:szCs w:val="24"/>
        </w:rPr>
      </w:pPr>
      <w:r>
        <w:rPr>
          <w:rFonts w:eastAsia="楷体_GB2312"/>
          <w:b/>
          <w:sz w:val="24"/>
          <w:szCs w:val="24"/>
        </w:rPr>
        <w:t>（五）学习评价</w:t>
      </w:r>
    </w:p>
    <w:p>
      <w:pPr>
        <w:overflowPunct w:val="0"/>
        <w:adjustRightInd w:val="0"/>
        <w:ind w:firstLine="480" w:firstLineChars="200"/>
        <w:rPr>
          <w:rFonts w:eastAsia="方正仿宋简体"/>
          <w:sz w:val="24"/>
          <w:szCs w:val="24"/>
        </w:rPr>
      </w:pPr>
      <w:r>
        <w:rPr>
          <w:rFonts w:eastAsia="方正仿宋简体"/>
          <w:sz w:val="24"/>
          <w:szCs w:val="24"/>
        </w:rPr>
        <w:t>对学生学习评价的方式方法提出要求和建议。</w:t>
      </w:r>
    </w:p>
    <w:p>
      <w:pPr>
        <w:overflowPunct w:val="0"/>
        <w:adjustRightInd w:val="0"/>
        <w:ind w:firstLine="482" w:firstLineChars="200"/>
        <w:outlineLvl w:val="0"/>
        <w:rPr>
          <w:rFonts w:eastAsia="楷体_GB2312"/>
          <w:b/>
          <w:sz w:val="24"/>
          <w:szCs w:val="24"/>
        </w:rPr>
      </w:pPr>
      <w:r>
        <w:rPr>
          <w:rFonts w:eastAsia="楷体_GB2312"/>
          <w:b/>
          <w:sz w:val="24"/>
          <w:szCs w:val="24"/>
        </w:rPr>
        <w:t>（六）质量管理</w:t>
      </w:r>
    </w:p>
    <w:p>
      <w:pPr>
        <w:overflowPunct w:val="0"/>
        <w:adjustRightInd w:val="0"/>
        <w:ind w:firstLine="480" w:firstLineChars="200"/>
        <w:rPr>
          <w:rFonts w:eastAsia="方正仿宋简体"/>
          <w:sz w:val="24"/>
          <w:szCs w:val="24"/>
        </w:rPr>
      </w:pPr>
      <w:r>
        <w:rPr>
          <w:rFonts w:eastAsia="方正仿宋简体"/>
          <w:sz w:val="24"/>
          <w:szCs w:val="24"/>
        </w:rPr>
        <w:t>对专业人才培养的质量管理提出要求。</w:t>
      </w:r>
    </w:p>
    <w:p>
      <w:pPr>
        <w:overflowPunct w:val="0"/>
        <w:adjustRightInd w:val="0"/>
        <w:ind w:firstLine="480" w:firstLineChars="200"/>
        <w:outlineLvl w:val="0"/>
        <w:rPr>
          <w:rFonts w:eastAsia="黑体"/>
          <w:sz w:val="24"/>
          <w:szCs w:val="24"/>
        </w:rPr>
      </w:pPr>
      <w:r>
        <w:rPr>
          <w:rFonts w:eastAsia="黑体"/>
          <w:sz w:val="24"/>
          <w:szCs w:val="24"/>
        </w:rPr>
        <w:t>九、毕业要求</w:t>
      </w:r>
    </w:p>
    <w:p>
      <w:pPr>
        <w:overflowPunct w:val="0"/>
        <w:adjustRightInd w:val="0"/>
        <w:ind w:firstLine="480" w:firstLineChars="200"/>
        <w:rPr>
          <w:rFonts w:eastAsia="方正仿宋简体"/>
          <w:sz w:val="24"/>
          <w:szCs w:val="24"/>
        </w:rPr>
      </w:pPr>
      <w:r>
        <w:rPr>
          <w:rFonts w:eastAsia="方正仿宋简体"/>
          <w:sz w:val="24"/>
          <w:szCs w:val="24"/>
        </w:rPr>
        <w:t>毕业要求是学生通过规定年限的学习，须修满的专业人才培养方案所规定的学时学分，完成规定的教学活动，毕业时应达到的素质、知识和能力等方面要求。毕业要求应能支撑培养目标的有效达成。</w:t>
      </w:r>
    </w:p>
    <w:p>
      <w:pPr>
        <w:overflowPunct w:val="0"/>
        <w:adjustRightInd w:val="0"/>
        <w:ind w:firstLine="480" w:firstLineChars="200"/>
        <w:outlineLvl w:val="0"/>
        <w:rPr>
          <w:rFonts w:eastAsia="黑体"/>
          <w:sz w:val="24"/>
          <w:szCs w:val="24"/>
        </w:rPr>
      </w:pPr>
      <w:r>
        <w:rPr>
          <w:rFonts w:eastAsia="黑体"/>
          <w:sz w:val="24"/>
          <w:szCs w:val="24"/>
        </w:rPr>
        <w:t>十、附录</w:t>
      </w:r>
    </w:p>
    <w:p>
      <w:pPr>
        <w:overflowPunct w:val="0"/>
        <w:adjustRightInd w:val="0"/>
        <w:ind w:firstLine="480" w:firstLineChars="200"/>
      </w:pPr>
      <w:r>
        <w:rPr>
          <w:rFonts w:eastAsia="方正仿宋简体"/>
          <w:sz w:val="24"/>
          <w:szCs w:val="24"/>
        </w:rPr>
        <w:t>一般包括教学进程安排表、变更审批表等。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jkxZDg0NDViMjgwYzFjZTAxNDdlN2Y5N2Y2ZjQifQ=="/>
  </w:docVars>
  <w:rsids>
    <w:rsidRoot w:val="00000000"/>
    <w:rsid w:val="2BE9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6">
    <w:name w:val="中等深浅网格 1 - 着色 21"/>
    <w:basedOn w:val="1"/>
    <w:qFormat/>
    <w:uiPriority w:val="0"/>
    <w:pPr>
      <w:spacing w:line="360" w:lineRule="auto"/>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2023-11-14T09:02:03Z</dcterms:created>
  <dc:creator>Administrator</dc:creator>
  <cp:lastModifiedBy>Xin</cp:lastModifiedBy>
  <dcterms:modified xsi:type="dcterms:W3CDTF">2023-11-14T09:04:19Z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C95D8E8141F34C5DB0D128D944799536_12</vt:lpwstr>
  </property>
</Properties>
</file>