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88A384">
      <w:pPr>
        <w:keepNext w:val="0"/>
        <w:keepLines w:val="0"/>
        <w:pageBreakBefore w:val="0"/>
        <w:widowControl w:val="0"/>
        <w:kinsoku/>
        <w:wordWrap/>
        <w:overflowPunct/>
        <w:topLinePunct w:val="0"/>
        <w:autoSpaceDE/>
        <w:autoSpaceDN/>
        <w:bidi w:val="0"/>
        <w:adjustRightInd w:val="0"/>
        <w:snapToGrid w:val="0"/>
        <w:spacing w:before="480" w:beforeLines="200"/>
        <w:jc w:val="center"/>
        <w:textAlignment w:val="auto"/>
        <w:rPr>
          <w:rFonts w:hint="eastAsia" w:ascii="方正小标宋简体" w:hAnsi="宋体" w:eastAsia="方正小标宋简体" w:cs="MS Gothic"/>
          <w:bCs/>
          <w:color w:val="000000"/>
          <w:spacing w:val="20"/>
          <w:sz w:val="40"/>
          <w:szCs w:val="40"/>
        </w:rPr>
      </w:pPr>
      <w:bookmarkStart w:id="0" w:name="_Toc35"/>
      <w:bookmarkStart w:id="1" w:name="_Toc14372"/>
      <w:bookmarkStart w:id="2" w:name="_Toc20151"/>
      <w:bookmarkStart w:id="3" w:name="_Toc6483"/>
      <w:bookmarkStart w:id="4" w:name="_Toc1743"/>
      <w:r>
        <w:rPr>
          <w:rFonts w:hint="eastAsia" w:ascii="方正小标宋简体" w:hAnsi="宋体" w:eastAsia="方正小标宋简体" w:cs="MS Gothic"/>
          <w:bCs/>
          <w:color w:val="000000"/>
          <w:spacing w:val="20"/>
          <w:sz w:val="40"/>
          <w:szCs w:val="40"/>
        </w:rPr>
        <w:t>机电一体化技术专业人才培养方案</w:t>
      </w:r>
      <w:bookmarkEnd w:id="0"/>
      <w:bookmarkEnd w:id="1"/>
      <w:bookmarkEnd w:id="2"/>
      <w:bookmarkEnd w:id="3"/>
      <w:bookmarkEnd w:id="4"/>
    </w:p>
    <w:p w14:paraId="14447DA1">
      <w:pPr>
        <w:keepNext w:val="0"/>
        <w:keepLines w:val="0"/>
        <w:pageBreakBefore w:val="0"/>
        <w:widowControl w:val="0"/>
        <w:kinsoku/>
        <w:wordWrap/>
        <w:overflowPunct/>
        <w:topLinePunct w:val="0"/>
        <w:autoSpaceDE/>
        <w:autoSpaceDN/>
        <w:bidi w:val="0"/>
        <w:adjustRightInd w:val="0"/>
        <w:snapToGrid w:val="0"/>
        <w:spacing w:after="360" w:afterLines="150"/>
        <w:jc w:val="center"/>
        <w:textAlignment w:val="auto"/>
        <w:rPr>
          <w:rFonts w:hint="eastAsia" w:ascii="方正小标宋简体" w:hAnsi="宋体" w:eastAsia="方正小标宋简体" w:cs="MS Gothic"/>
          <w:bCs/>
          <w:color w:val="000000"/>
          <w:spacing w:val="20"/>
          <w:sz w:val="40"/>
          <w:szCs w:val="40"/>
          <w:lang w:eastAsia="zh-CN"/>
        </w:rPr>
      </w:pPr>
      <w:r>
        <w:rPr>
          <w:rFonts w:hint="eastAsia" w:ascii="方正小标宋简体" w:hAnsi="宋体" w:eastAsia="方正小标宋简体" w:cs="MS Gothic"/>
          <w:bCs/>
          <w:color w:val="000000"/>
          <w:spacing w:val="20"/>
          <w:sz w:val="40"/>
          <w:szCs w:val="40"/>
          <w:lang w:eastAsia="zh-CN"/>
        </w:rPr>
        <w:t>（SGAVE项目智能制造方向）</w:t>
      </w:r>
    </w:p>
    <w:p w14:paraId="6C61A014">
      <w:pPr>
        <w:adjustRightInd w:val="0"/>
        <w:snapToGrid w:val="0"/>
        <w:spacing w:before="120" w:beforeLines="50" w:after="120" w:afterLines="50" w:line="380" w:lineRule="exact"/>
        <w:ind w:firstLine="560" w:firstLineChars="200"/>
        <w:rPr>
          <w:rFonts w:hint="eastAsia" w:ascii="方正黑体简体" w:hAnsi="楷体" w:eastAsia="方正黑体简体" w:cs="MS Gothic"/>
          <w:color w:val="000000"/>
          <w:sz w:val="28"/>
          <w:szCs w:val="28"/>
        </w:rPr>
      </w:pPr>
      <w:bookmarkStart w:id="5" w:name="_Toc17301"/>
      <w:bookmarkStart w:id="6" w:name="_Toc22685"/>
      <w:r>
        <w:rPr>
          <w:rFonts w:hint="eastAsia" w:ascii="方正黑体简体" w:hAnsi="楷体" w:eastAsia="方正黑体简体" w:cs="MS Gothic"/>
          <w:color w:val="000000"/>
          <w:sz w:val="28"/>
          <w:szCs w:val="28"/>
        </w:rPr>
        <w:t>一、专业名称与代码</w:t>
      </w:r>
      <w:bookmarkEnd w:id="5"/>
      <w:bookmarkEnd w:id="6"/>
    </w:p>
    <w:p w14:paraId="748CF126">
      <w:pPr>
        <w:keepNext w:val="0"/>
        <w:keepLines w:val="0"/>
        <w:pageBreakBefore w:val="0"/>
        <w:widowControl/>
        <w:kinsoku/>
        <w:wordWrap/>
        <w:overflowPunct/>
        <w:topLinePunct w:val="0"/>
        <w:bidi w:val="0"/>
        <w:spacing w:before="100" w:line="242" w:lineRule="auto"/>
        <w:ind w:left="537"/>
        <w:rPr>
          <w:rFonts w:hint="eastAsia" w:ascii="方正黑体简体" w:hAnsi="楷体" w:eastAsia="方正黑体简体" w:cs="MS Gothic"/>
          <w:color w:val="000000"/>
          <w:sz w:val="24"/>
        </w:rPr>
      </w:pPr>
      <w:r>
        <w:rPr>
          <w:rFonts w:hint="eastAsia" w:ascii="方正黑体简体" w:hAnsi="楷体" w:eastAsia="方正黑体简体" w:cs="MS Gothic"/>
          <w:color w:val="000000"/>
          <w:sz w:val="24"/>
        </w:rPr>
        <w:t>（一）专业名称</w:t>
      </w:r>
      <w:r>
        <w:rPr>
          <w:rFonts w:hint="eastAsia" w:ascii="方正黑体简体" w:hAnsi="楷体" w:eastAsia="方正黑体简体" w:cs="MS Gothic"/>
          <w:color w:val="000000"/>
          <w:sz w:val="24"/>
          <w:lang w:eastAsia="zh-CN"/>
        </w:rPr>
        <w:t>：</w:t>
      </w:r>
      <w:r>
        <w:rPr>
          <w:rFonts w:hint="eastAsia" w:ascii="黑体" w:hAnsi="黑体" w:eastAsia="黑体" w:cs="黑体"/>
          <w:spacing w:val="21"/>
          <w:sz w:val="24"/>
          <w:szCs w:val="24"/>
        </w:rPr>
        <w:t>机电一体化技术</w:t>
      </w:r>
    </w:p>
    <w:p w14:paraId="13A7E66E">
      <w:pPr>
        <w:adjustRightInd w:val="0"/>
        <w:snapToGrid w:val="0"/>
        <w:spacing w:line="380" w:lineRule="exact"/>
        <w:ind w:firstLine="480" w:firstLineChars="200"/>
        <w:rPr>
          <w:rFonts w:hint="eastAsia" w:ascii="方正黑体简体" w:hAnsi="楷体" w:eastAsia="方正黑体简体" w:cs="MS Gothic"/>
          <w:color w:val="C00000"/>
          <w:sz w:val="24"/>
        </w:rPr>
      </w:pPr>
      <w:r>
        <w:rPr>
          <w:rFonts w:hint="eastAsia" w:ascii="方正黑体简体" w:hAnsi="楷体" w:eastAsia="方正黑体简体" w:cs="MS Gothic"/>
          <w:color w:val="000000"/>
          <w:sz w:val="24"/>
        </w:rPr>
        <w:t>（二）专业代码</w:t>
      </w:r>
      <w:r>
        <w:rPr>
          <w:rFonts w:hint="eastAsia" w:ascii="方正黑体简体" w:hAnsi="楷体" w:eastAsia="方正黑体简体" w:cs="MS Gothic"/>
          <w:color w:val="000000"/>
          <w:sz w:val="24"/>
          <w:lang w:eastAsia="zh-CN"/>
        </w:rPr>
        <w:t>：460301</w:t>
      </w:r>
    </w:p>
    <w:p w14:paraId="35B72598">
      <w:pPr>
        <w:adjustRightInd w:val="0"/>
        <w:snapToGrid w:val="0"/>
        <w:spacing w:before="120" w:beforeLines="50" w:after="120" w:afterLines="50" w:line="380" w:lineRule="exact"/>
        <w:ind w:firstLine="560" w:firstLineChars="200"/>
        <w:rPr>
          <w:rFonts w:hint="eastAsia" w:ascii="方正黑体简体" w:hAnsi="楷体" w:eastAsia="方正黑体简体" w:cs="MS Gothic"/>
          <w:color w:val="000000"/>
          <w:sz w:val="28"/>
          <w:szCs w:val="28"/>
        </w:rPr>
      </w:pPr>
      <w:bookmarkStart w:id="7" w:name="_Toc4110"/>
      <w:bookmarkStart w:id="8" w:name="_Toc19328"/>
      <w:r>
        <w:rPr>
          <w:rFonts w:hint="eastAsia" w:ascii="方正黑体简体" w:hAnsi="楷体" w:eastAsia="方正黑体简体" w:cs="MS Gothic"/>
          <w:color w:val="000000"/>
          <w:sz w:val="28"/>
          <w:szCs w:val="28"/>
        </w:rPr>
        <w:t>二、入学要求</w:t>
      </w:r>
      <w:bookmarkEnd w:id="7"/>
      <w:bookmarkEnd w:id="8"/>
    </w:p>
    <w:p w14:paraId="60DCD731">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bookmarkStart w:id="9" w:name="_Toc15670"/>
      <w:bookmarkStart w:id="10" w:name="_Toc25235"/>
      <w:r>
        <w:rPr>
          <w:rFonts w:hint="eastAsia" w:ascii="方正书宋简体" w:hAnsi="楷体" w:eastAsia="方正书宋简体" w:cs="MS Gothic"/>
          <w:color w:val="000000"/>
          <w:sz w:val="24"/>
        </w:rPr>
        <w:t>普通高级中学毕业、中等职业学校毕业或具有同等学力</w:t>
      </w:r>
      <w:r>
        <w:rPr>
          <w:rFonts w:hint="eastAsia" w:ascii="方正书宋简体" w:hAnsi="楷体" w:eastAsia="方正书宋简体" w:cs="MS Gothic"/>
          <w:color w:val="000000"/>
          <w:sz w:val="24"/>
          <w:lang w:eastAsia="zh-CN"/>
        </w:rPr>
        <w:t>。</w:t>
      </w:r>
    </w:p>
    <w:p w14:paraId="6DFC3572">
      <w:pPr>
        <w:adjustRightInd w:val="0"/>
        <w:snapToGrid w:val="0"/>
        <w:spacing w:before="120" w:beforeLines="50" w:after="120" w:afterLines="50" w:line="380" w:lineRule="exact"/>
        <w:ind w:firstLine="560" w:firstLineChars="200"/>
        <w:rPr>
          <w:rFonts w:hint="eastAsia" w:ascii="方正黑体简体" w:hAnsi="楷体" w:eastAsia="方正黑体简体" w:cs="MS Gothic"/>
          <w:color w:val="000000"/>
          <w:sz w:val="28"/>
          <w:szCs w:val="28"/>
        </w:rPr>
      </w:pPr>
      <w:r>
        <w:rPr>
          <w:rFonts w:hint="eastAsia" w:ascii="方正黑体简体" w:hAnsi="楷体" w:eastAsia="方正黑体简体" w:cs="MS Gothic"/>
          <w:color w:val="000000"/>
          <w:sz w:val="28"/>
          <w:szCs w:val="28"/>
        </w:rPr>
        <w:t>三、修业年限</w:t>
      </w:r>
      <w:bookmarkEnd w:id="9"/>
      <w:bookmarkEnd w:id="10"/>
    </w:p>
    <w:p w14:paraId="68968036">
      <w:pPr>
        <w:adjustRightInd w:val="0"/>
        <w:snapToGrid w:val="0"/>
        <w:spacing w:line="380"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全日制3年。实行弹性学制，学生可通过学分认定、积累、转换等办法，在2-6年内完成学业。</w:t>
      </w:r>
    </w:p>
    <w:p w14:paraId="11A17503">
      <w:pPr>
        <w:numPr>
          <w:ilvl w:val="0"/>
          <w:numId w:val="1"/>
        </w:numPr>
        <w:adjustRightInd w:val="0"/>
        <w:snapToGrid w:val="0"/>
        <w:spacing w:before="120" w:beforeLines="50" w:after="120" w:afterLines="50" w:line="380" w:lineRule="exact"/>
        <w:ind w:firstLine="560" w:firstLineChars="200"/>
        <w:rPr>
          <w:rFonts w:hint="eastAsia" w:ascii="方正黑体简体" w:hAnsi="楷体" w:eastAsia="方正黑体简体" w:cs="MS Gothic"/>
          <w:color w:val="000000"/>
          <w:sz w:val="28"/>
          <w:szCs w:val="28"/>
        </w:rPr>
      </w:pPr>
      <w:bookmarkStart w:id="11" w:name="_Toc27959"/>
      <w:bookmarkStart w:id="12" w:name="_Toc24599"/>
      <w:r>
        <w:rPr>
          <w:rFonts w:hint="eastAsia" w:ascii="方正黑体简体" w:hAnsi="楷体" w:eastAsia="方正黑体简体" w:cs="MS Gothic"/>
          <w:color w:val="000000"/>
          <w:sz w:val="28"/>
          <w:szCs w:val="28"/>
        </w:rPr>
        <w:t>职业面向</w:t>
      </w:r>
      <w:bookmarkEnd w:id="11"/>
      <w:bookmarkEnd w:id="12"/>
    </w:p>
    <w:tbl>
      <w:tblPr>
        <w:tblStyle w:val="14"/>
        <w:tblW w:w="92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13" w:type="dxa"/>
          <w:left w:w="113" w:type="dxa"/>
          <w:bottom w:w="113" w:type="dxa"/>
          <w:right w:w="113" w:type="dxa"/>
        </w:tblCellMar>
      </w:tblPr>
      <w:tblGrid>
        <w:gridCol w:w="1326"/>
        <w:gridCol w:w="1289"/>
        <w:gridCol w:w="1608"/>
        <w:gridCol w:w="1836"/>
        <w:gridCol w:w="1580"/>
        <w:gridCol w:w="1634"/>
      </w:tblGrid>
      <w:tr w14:paraId="69C38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13" w:type="dxa"/>
            <w:bottom w:w="113" w:type="dxa"/>
            <w:right w:w="113" w:type="dxa"/>
          </w:tblCellMar>
        </w:tblPrEx>
        <w:trPr>
          <w:trHeight w:val="0" w:hRule="atLeast"/>
          <w:jc w:val="center"/>
        </w:trPr>
        <w:tc>
          <w:tcPr>
            <w:tcW w:w="1326" w:type="dxa"/>
            <w:noWrap w:val="0"/>
            <w:vAlign w:val="center"/>
          </w:tcPr>
          <w:p w14:paraId="1B5C355A">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所属专业大类（代码）</w:t>
            </w:r>
          </w:p>
        </w:tc>
        <w:tc>
          <w:tcPr>
            <w:tcW w:w="1289" w:type="dxa"/>
            <w:noWrap w:val="0"/>
            <w:vAlign w:val="center"/>
          </w:tcPr>
          <w:p w14:paraId="51608AA5">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所属专业类</w:t>
            </w:r>
          </w:p>
          <w:p w14:paraId="29EFA5A6">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（代码）</w:t>
            </w:r>
          </w:p>
        </w:tc>
        <w:tc>
          <w:tcPr>
            <w:tcW w:w="1608" w:type="dxa"/>
            <w:noWrap w:val="0"/>
            <w:vAlign w:val="center"/>
          </w:tcPr>
          <w:p w14:paraId="7F4369D0">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对应行业</w:t>
            </w:r>
          </w:p>
          <w:p w14:paraId="1D1EFDAA">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（代码）</w:t>
            </w:r>
          </w:p>
        </w:tc>
        <w:tc>
          <w:tcPr>
            <w:tcW w:w="1836" w:type="dxa"/>
            <w:noWrap w:val="0"/>
            <w:vAlign w:val="center"/>
          </w:tcPr>
          <w:p w14:paraId="6825FAF0">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主要职业类别</w:t>
            </w:r>
          </w:p>
          <w:p w14:paraId="4A806429">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（代码）</w:t>
            </w:r>
          </w:p>
        </w:tc>
        <w:tc>
          <w:tcPr>
            <w:tcW w:w="1580" w:type="dxa"/>
            <w:noWrap w:val="0"/>
            <w:vAlign w:val="center"/>
          </w:tcPr>
          <w:p w14:paraId="59BD40F8">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主要岗位类别</w:t>
            </w:r>
          </w:p>
          <w:p w14:paraId="436AAA43">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（或技术领域）</w:t>
            </w:r>
          </w:p>
        </w:tc>
        <w:tc>
          <w:tcPr>
            <w:tcW w:w="1634" w:type="dxa"/>
            <w:noWrap w:val="0"/>
            <w:vAlign w:val="center"/>
          </w:tcPr>
          <w:p w14:paraId="5A3FE0B5">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职业资格证书或</w:t>
            </w:r>
          </w:p>
          <w:p w14:paraId="167B515E">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技能等级证书</w:t>
            </w:r>
          </w:p>
        </w:tc>
      </w:tr>
      <w:tr w14:paraId="11199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13" w:type="dxa"/>
            <w:bottom w:w="113" w:type="dxa"/>
            <w:right w:w="113" w:type="dxa"/>
          </w:tblCellMar>
        </w:tblPrEx>
        <w:trPr>
          <w:trHeight w:val="0" w:hRule="atLeast"/>
          <w:jc w:val="center"/>
        </w:trPr>
        <w:tc>
          <w:tcPr>
            <w:tcW w:w="1326" w:type="dxa"/>
            <w:noWrap w:val="0"/>
            <w:vAlign w:val="center"/>
          </w:tcPr>
          <w:p w14:paraId="7FDF7C46">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装备制造大类</w:t>
            </w:r>
          </w:p>
          <w:p w14:paraId="4889281F">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（46）</w:t>
            </w:r>
          </w:p>
        </w:tc>
        <w:tc>
          <w:tcPr>
            <w:tcW w:w="1289" w:type="dxa"/>
            <w:noWrap w:val="0"/>
            <w:vAlign w:val="center"/>
          </w:tcPr>
          <w:p w14:paraId="7F5D3F9D">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4603</w:t>
            </w:r>
          </w:p>
        </w:tc>
        <w:tc>
          <w:tcPr>
            <w:tcW w:w="1608" w:type="dxa"/>
            <w:noWrap w:val="0"/>
            <w:vAlign w:val="center"/>
          </w:tcPr>
          <w:p w14:paraId="2D154426">
            <w:pPr>
              <w:adjustRightInd w:val="0"/>
              <w:snapToGrid w:val="0"/>
              <w:ind w:left="-105" w:leftChars="-50" w:right="-105" w:rightChars="-50"/>
              <w:jc w:val="left"/>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通用设备制造业（34），金属制品、机械和设备修理业（43）</w:t>
            </w:r>
          </w:p>
        </w:tc>
        <w:tc>
          <w:tcPr>
            <w:tcW w:w="1836" w:type="dxa"/>
            <w:noWrap w:val="0"/>
            <w:vAlign w:val="center"/>
          </w:tcPr>
          <w:p w14:paraId="5B274721">
            <w:pPr>
              <w:adjustRightInd w:val="0"/>
              <w:snapToGrid w:val="0"/>
              <w:ind w:left="-105" w:leftChars="-50" w:right="-105" w:rightChars="-50"/>
              <w:jc w:val="left"/>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1.机械设计工程技术人员</w:t>
            </w:r>
          </w:p>
          <w:p w14:paraId="2A4C309C">
            <w:pPr>
              <w:adjustRightInd w:val="0"/>
              <w:snapToGrid w:val="0"/>
              <w:ind w:left="-105" w:leftChars="-50" w:right="-105" w:rightChars="-50"/>
              <w:jc w:val="left"/>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（2-02-07-01）</w:t>
            </w:r>
          </w:p>
          <w:p w14:paraId="41AB4FF3">
            <w:pPr>
              <w:adjustRightInd w:val="0"/>
              <w:snapToGrid w:val="0"/>
              <w:ind w:left="-105" w:leftChars="-50" w:right="-105" w:rightChars="-50"/>
              <w:jc w:val="left"/>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2.机械制造工程技术人员</w:t>
            </w:r>
          </w:p>
          <w:p w14:paraId="30F475EB">
            <w:pPr>
              <w:adjustRightInd w:val="0"/>
              <w:snapToGrid w:val="0"/>
              <w:ind w:left="-105" w:leftChars="-50" w:right="-105" w:rightChars="-50"/>
              <w:jc w:val="left"/>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（2-02-07-02）</w:t>
            </w:r>
          </w:p>
          <w:p w14:paraId="01ACBDB3">
            <w:pPr>
              <w:adjustRightInd w:val="0"/>
              <w:snapToGrid w:val="0"/>
              <w:ind w:left="-105" w:leftChars="-50" w:right="-105" w:rightChars="-50"/>
              <w:jc w:val="left"/>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3.自动控制工程技术人员S</w:t>
            </w:r>
          </w:p>
          <w:p w14:paraId="00128F2B">
            <w:pPr>
              <w:adjustRightInd w:val="0"/>
              <w:snapToGrid w:val="0"/>
              <w:ind w:left="-105" w:leftChars="-50" w:right="-105" w:rightChars="-50"/>
              <w:jc w:val="left"/>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（2-02-07-07）</w:t>
            </w:r>
          </w:p>
        </w:tc>
        <w:tc>
          <w:tcPr>
            <w:tcW w:w="1580" w:type="dxa"/>
            <w:noWrap w:val="0"/>
            <w:vAlign w:val="center"/>
          </w:tcPr>
          <w:p w14:paraId="531367B7">
            <w:pPr>
              <w:adjustRightInd w:val="0"/>
              <w:snapToGrid w:val="0"/>
              <w:ind w:left="-105" w:leftChars="-50" w:right="-105" w:rightChars="-50"/>
              <w:jc w:val="left"/>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1.机电设备安装与调试</w:t>
            </w:r>
          </w:p>
          <w:p w14:paraId="3BD9417E">
            <w:pPr>
              <w:adjustRightInd w:val="0"/>
              <w:snapToGrid w:val="0"/>
              <w:ind w:left="-105" w:leftChars="-50" w:right="-105" w:rightChars="-50"/>
              <w:jc w:val="left"/>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2.机电设备维修</w:t>
            </w:r>
          </w:p>
          <w:p w14:paraId="41669E19">
            <w:pPr>
              <w:adjustRightInd w:val="0"/>
              <w:snapToGrid w:val="0"/>
              <w:ind w:left="-105" w:leftChars="-50" w:right="-105" w:rightChars="-50"/>
              <w:jc w:val="left"/>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3.机电设备技改</w:t>
            </w:r>
          </w:p>
          <w:p w14:paraId="05CA21C7">
            <w:pPr>
              <w:adjustRightInd w:val="0"/>
              <w:snapToGrid w:val="0"/>
              <w:ind w:left="-105" w:leftChars="-50" w:right="-105" w:rightChars="-50"/>
              <w:jc w:val="left"/>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4.智能生产线运维</w:t>
            </w:r>
          </w:p>
        </w:tc>
        <w:tc>
          <w:tcPr>
            <w:tcW w:w="1634" w:type="dxa"/>
            <w:noWrap w:val="0"/>
            <w:vAlign w:val="center"/>
          </w:tcPr>
          <w:p w14:paraId="3D5B15E5">
            <w:pPr>
              <w:adjustRightInd w:val="0"/>
              <w:snapToGrid w:val="0"/>
              <w:ind w:left="-105" w:leftChars="-50" w:right="-105" w:rightChars="-50"/>
              <w:jc w:val="left"/>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1.中级（高级）电工职业技能等级证书</w:t>
            </w:r>
          </w:p>
          <w:p w14:paraId="651C1C84">
            <w:pPr>
              <w:adjustRightInd w:val="0"/>
              <w:snapToGrid w:val="0"/>
              <w:ind w:left="-105" w:leftChars="-50" w:right="-105" w:rightChars="-50"/>
              <w:jc w:val="left"/>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2.中级（高级）工业机器人应用编程职业技能等级证书</w:t>
            </w:r>
          </w:p>
          <w:p w14:paraId="3B3136CC">
            <w:pPr>
              <w:adjustRightInd w:val="0"/>
              <w:snapToGrid w:val="0"/>
              <w:ind w:left="-105" w:leftChars="-50" w:right="-105" w:rightChars="-50"/>
              <w:jc w:val="left"/>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3.中级（高级）可编程控制器系统应用编程职业技能等级证书</w:t>
            </w:r>
          </w:p>
        </w:tc>
      </w:tr>
    </w:tbl>
    <w:p w14:paraId="2E6EBD8E">
      <w:pPr>
        <w:adjustRightInd w:val="0"/>
        <w:snapToGrid w:val="0"/>
        <w:spacing w:before="120" w:beforeLines="50" w:after="120" w:afterLines="50" w:line="380" w:lineRule="exact"/>
        <w:ind w:firstLine="560" w:firstLineChars="200"/>
        <w:rPr>
          <w:rFonts w:hint="eastAsia" w:ascii="方正黑体简体" w:hAnsi="楷体" w:eastAsia="方正黑体简体" w:cs="MS Gothic"/>
          <w:color w:val="000000"/>
          <w:sz w:val="28"/>
          <w:szCs w:val="28"/>
        </w:rPr>
      </w:pPr>
      <w:bookmarkStart w:id="13" w:name="_Toc10552"/>
      <w:bookmarkStart w:id="14" w:name="_Toc10629"/>
      <w:r>
        <w:rPr>
          <w:rFonts w:hint="eastAsia" w:ascii="方正黑体简体" w:hAnsi="楷体" w:eastAsia="方正黑体简体" w:cs="MS Gothic"/>
          <w:color w:val="000000"/>
          <w:sz w:val="28"/>
          <w:szCs w:val="28"/>
        </w:rPr>
        <w:t>五、培养目标及培养规格</w:t>
      </w:r>
      <w:bookmarkEnd w:id="13"/>
      <w:bookmarkEnd w:id="14"/>
    </w:p>
    <w:p w14:paraId="1A4DC1A4">
      <w:pPr>
        <w:keepNext w:val="0"/>
        <w:keepLines w:val="0"/>
        <w:pageBreakBefore w:val="0"/>
        <w:widowControl w:val="0"/>
        <w:kinsoku/>
        <w:wordWrap/>
        <w:overflowPunct/>
        <w:topLinePunct w:val="0"/>
        <w:autoSpaceDE/>
        <w:autoSpaceDN/>
        <w:bidi w:val="0"/>
        <w:adjustRightInd w:val="0"/>
        <w:snapToGrid w:val="0"/>
        <w:spacing w:line="388" w:lineRule="exact"/>
        <w:ind w:firstLine="480" w:firstLineChars="200"/>
        <w:textAlignment w:val="auto"/>
        <w:rPr>
          <w:rFonts w:hint="eastAsia" w:ascii="方正黑体简体" w:hAnsi="楷体" w:eastAsia="方正黑体简体" w:cs="MS Gothic"/>
          <w:color w:val="000000"/>
          <w:sz w:val="24"/>
          <w:lang w:val="en-US" w:eastAsia="zh-CN"/>
        </w:rPr>
      </w:pPr>
      <w:bookmarkStart w:id="15" w:name="_Toc10428"/>
      <w:r>
        <w:rPr>
          <w:rFonts w:hint="eastAsia" w:ascii="方正黑体简体" w:hAnsi="楷体" w:eastAsia="方正黑体简体" w:cs="MS Gothic"/>
          <w:color w:val="000000"/>
          <w:sz w:val="24"/>
          <w:lang w:val="en-US" w:eastAsia="zh-CN"/>
        </w:rPr>
        <w:t>（一）培养目标</w:t>
      </w:r>
      <w:bookmarkEnd w:id="15"/>
    </w:p>
    <w:p w14:paraId="55E5037F">
      <w:pPr>
        <w:keepNext w:val="0"/>
        <w:keepLines w:val="0"/>
        <w:pageBreakBefore w:val="0"/>
        <w:widowControl w:val="0"/>
        <w:kinsoku/>
        <w:wordWrap/>
        <w:overflowPunct/>
        <w:topLinePunct w:val="0"/>
        <w:autoSpaceDE/>
        <w:autoSpaceDN/>
        <w:bidi w:val="0"/>
        <w:adjustRightInd w:val="0"/>
        <w:snapToGrid w:val="0"/>
        <w:spacing w:line="388" w:lineRule="exact"/>
        <w:ind w:firstLine="480" w:firstLineChars="200"/>
        <w:textAlignment w:val="auto"/>
        <w:rPr>
          <w:rFonts w:hint="eastAsia" w:ascii="方正书宋简体" w:hAnsi="楷体" w:eastAsia="方正书宋简体" w:cs="MS Gothic"/>
          <w:color w:val="000000"/>
          <w:sz w:val="24"/>
          <w:lang w:val="en-US" w:eastAsia="zh-CN"/>
        </w:rPr>
      </w:pPr>
      <w:bookmarkStart w:id="16" w:name="_Toc29758"/>
      <w:r>
        <w:rPr>
          <w:rFonts w:hint="eastAsia" w:ascii="方正书宋简体" w:hAnsi="楷体" w:eastAsia="方正书宋简体" w:cs="MS Gothic"/>
          <w:color w:val="000000"/>
          <w:sz w:val="24"/>
          <w:lang w:val="en-US" w:eastAsia="zh-CN"/>
        </w:rPr>
        <w:t>本专业培养思想政治坚定，德、智、体、美、劳全面发展，具有职业教育专科层次的科学文化水平，良好的人文素养、职业道德和创新意识，精益求精的工匠精神，较强 的就业能力和可持续发展能力，掌握机械零件与典型机构数字化设计、工业机器人技术、自动化生产线安装与调试等知识和技术技能，面向通用设备制造职业岗位、机械和机电设备维修等职业岗位，能够从事机电设备和自动化生产线安装与调试、运行与维修、改造与升级等工作的具有愚公移山精神的高技能人才。</w:t>
      </w:r>
    </w:p>
    <w:p w14:paraId="12C0A886">
      <w:pPr>
        <w:keepNext w:val="0"/>
        <w:keepLines w:val="0"/>
        <w:pageBreakBefore w:val="0"/>
        <w:widowControl w:val="0"/>
        <w:kinsoku/>
        <w:wordWrap/>
        <w:overflowPunct/>
        <w:topLinePunct w:val="0"/>
        <w:autoSpaceDE/>
        <w:autoSpaceDN/>
        <w:bidi w:val="0"/>
        <w:adjustRightInd w:val="0"/>
        <w:snapToGrid w:val="0"/>
        <w:spacing w:line="388" w:lineRule="exact"/>
        <w:ind w:firstLine="480" w:firstLineChars="200"/>
        <w:textAlignment w:val="auto"/>
        <w:rPr>
          <w:rFonts w:hint="eastAsia" w:ascii="方正黑体简体" w:hAnsi="楷体" w:eastAsia="方正黑体简体" w:cs="MS Gothic"/>
          <w:color w:val="000000"/>
          <w:sz w:val="24"/>
          <w:lang w:val="en-US" w:eastAsia="zh-CN"/>
        </w:rPr>
      </w:pPr>
      <w:r>
        <w:rPr>
          <w:rFonts w:hint="eastAsia" w:ascii="方正黑体简体" w:hAnsi="楷体" w:eastAsia="方正黑体简体" w:cs="MS Gothic"/>
          <w:color w:val="000000"/>
          <w:sz w:val="24"/>
          <w:lang w:val="en-US" w:eastAsia="zh-CN"/>
        </w:rPr>
        <w:t>（二）培养规格</w:t>
      </w:r>
      <w:bookmarkEnd w:id="16"/>
    </w:p>
    <w:p w14:paraId="06EB72A8">
      <w:pPr>
        <w:keepNext w:val="0"/>
        <w:keepLines w:val="0"/>
        <w:pageBreakBefore w:val="0"/>
        <w:widowControl w:val="0"/>
        <w:kinsoku/>
        <w:wordWrap/>
        <w:overflowPunct/>
        <w:topLinePunct w:val="0"/>
        <w:autoSpaceDE/>
        <w:autoSpaceDN/>
        <w:bidi w:val="0"/>
        <w:adjustRightInd w:val="0"/>
        <w:snapToGrid w:val="0"/>
        <w:spacing w:line="388" w:lineRule="exact"/>
        <w:ind w:firstLine="480" w:firstLineChars="200"/>
        <w:textAlignment w:val="auto"/>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1．素质</w:t>
      </w:r>
    </w:p>
    <w:p w14:paraId="427708F7">
      <w:pPr>
        <w:keepNext w:val="0"/>
        <w:keepLines w:val="0"/>
        <w:pageBreakBefore w:val="0"/>
        <w:widowControl w:val="0"/>
        <w:kinsoku/>
        <w:wordWrap/>
        <w:overflowPunct/>
        <w:topLinePunct w:val="0"/>
        <w:autoSpaceDE/>
        <w:autoSpaceDN/>
        <w:bidi w:val="0"/>
        <w:adjustRightInd w:val="0"/>
        <w:snapToGrid w:val="0"/>
        <w:spacing w:line="388" w:lineRule="exact"/>
        <w:ind w:firstLine="480" w:firstLineChars="200"/>
        <w:textAlignment w:val="auto"/>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 xml:space="preserve">（1）思想道德素质 </w:t>
      </w:r>
    </w:p>
    <w:p w14:paraId="645CD606">
      <w:pPr>
        <w:keepNext w:val="0"/>
        <w:keepLines w:val="0"/>
        <w:pageBreakBefore w:val="0"/>
        <w:widowControl w:val="0"/>
        <w:kinsoku/>
        <w:wordWrap/>
        <w:overflowPunct/>
        <w:topLinePunct w:val="0"/>
        <w:autoSpaceDE/>
        <w:autoSpaceDN/>
        <w:bidi w:val="0"/>
        <w:adjustRightInd w:val="0"/>
        <w:snapToGrid w:val="0"/>
        <w:spacing w:line="388" w:lineRule="exact"/>
        <w:ind w:firstLine="480" w:firstLineChars="200"/>
        <w:textAlignment w:val="auto"/>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拥护党的路线、方针、政策，坚持四项基本原则，具有共产主义信念理想，在重大政治、原则问题上能够坚持正确的立场；树立崇高的理想，形成正确的世界观、人生观、价值观；崇尚宪法，建立法制观念，遵守国家法律和校规校纪；树立深厚的爱国情感、国家认同感、民族自豪感；提高学生的思想政治素质，具有正确的政治方向和坚定的政治信念；为人正直，文明礼貌，诚实守信。</w:t>
      </w:r>
    </w:p>
    <w:p w14:paraId="6E3843E7">
      <w:pPr>
        <w:keepNext w:val="0"/>
        <w:keepLines w:val="0"/>
        <w:pageBreakBefore w:val="0"/>
        <w:widowControl w:val="0"/>
        <w:kinsoku/>
        <w:wordWrap/>
        <w:overflowPunct/>
        <w:topLinePunct w:val="0"/>
        <w:autoSpaceDE/>
        <w:autoSpaceDN/>
        <w:bidi w:val="0"/>
        <w:adjustRightInd w:val="0"/>
        <w:snapToGrid w:val="0"/>
        <w:spacing w:line="388" w:lineRule="exact"/>
        <w:ind w:firstLine="480" w:firstLineChars="200"/>
        <w:textAlignment w:val="auto"/>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 xml:space="preserve">（2）科学文化素质 </w:t>
      </w:r>
    </w:p>
    <w:p w14:paraId="2F15E73B">
      <w:pPr>
        <w:keepNext w:val="0"/>
        <w:keepLines w:val="0"/>
        <w:pageBreakBefore w:val="0"/>
        <w:widowControl w:val="0"/>
        <w:kinsoku/>
        <w:wordWrap/>
        <w:overflowPunct/>
        <w:topLinePunct w:val="0"/>
        <w:autoSpaceDE/>
        <w:autoSpaceDN/>
        <w:bidi w:val="0"/>
        <w:adjustRightInd w:val="0"/>
        <w:snapToGrid w:val="0"/>
        <w:spacing w:line="388" w:lineRule="exact"/>
        <w:ind w:firstLine="480" w:firstLineChars="200"/>
        <w:textAlignment w:val="auto"/>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培养主动获取和应用知识信息的能力、审美能力、独立思考能力和创新能力；提高学生的人文素质，具有扎实的知识结构，科学的认知理念、认知方法和实事求是勇于实践的工作作风；仁爱、自强、自立；广博的人文知识和良好的人文修养。</w:t>
      </w:r>
    </w:p>
    <w:p w14:paraId="2D38BCD3">
      <w:pPr>
        <w:keepNext w:val="0"/>
        <w:keepLines w:val="0"/>
        <w:pageBreakBefore w:val="0"/>
        <w:widowControl w:val="0"/>
        <w:kinsoku/>
        <w:wordWrap/>
        <w:overflowPunct/>
        <w:topLinePunct w:val="0"/>
        <w:autoSpaceDE/>
        <w:autoSpaceDN/>
        <w:bidi w:val="0"/>
        <w:adjustRightInd w:val="0"/>
        <w:snapToGrid w:val="0"/>
        <w:spacing w:line="388" w:lineRule="exact"/>
        <w:ind w:firstLine="480" w:firstLineChars="200"/>
        <w:textAlignment w:val="auto"/>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 xml:space="preserve">（3）身体心理素质 </w:t>
      </w:r>
    </w:p>
    <w:p w14:paraId="42F4F699">
      <w:pPr>
        <w:keepNext w:val="0"/>
        <w:keepLines w:val="0"/>
        <w:pageBreakBefore w:val="0"/>
        <w:widowControl w:val="0"/>
        <w:kinsoku/>
        <w:wordWrap/>
        <w:overflowPunct/>
        <w:topLinePunct w:val="0"/>
        <w:autoSpaceDE/>
        <w:autoSpaceDN/>
        <w:bidi w:val="0"/>
        <w:adjustRightInd w:val="0"/>
        <w:snapToGrid w:val="0"/>
        <w:spacing w:line="388" w:lineRule="exact"/>
        <w:ind w:firstLine="480" w:firstLineChars="200"/>
        <w:textAlignment w:val="auto"/>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 xml:space="preserve">培养学生的心理和身体素质，保持体魄和心理的健康，培育健全的人格和良好的心理素质，有切合实际的生活目标和个人发展目标，能正确地看待现实，主动适应现实环境；具有正常的人际关系和团队精神；积极参加体育锻炼和各种文化体育活动，达到大学生体质健康合格标准 </w:t>
      </w:r>
    </w:p>
    <w:p w14:paraId="49620FE1">
      <w:pPr>
        <w:keepNext w:val="0"/>
        <w:keepLines w:val="0"/>
        <w:pageBreakBefore w:val="0"/>
        <w:widowControl w:val="0"/>
        <w:kinsoku/>
        <w:wordWrap/>
        <w:overflowPunct/>
        <w:topLinePunct w:val="0"/>
        <w:autoSpaceDE/>
        <w:autoSpaceDN/>
        <w:bidi w:val="0"/>
        <w:adjustRightInd w:val="0"/>
        <w:snapToGrid w:val="0"/>
        <w:spacing w:line="388" w:lineRule="exact"/>
        <w:ind w:firstLine="480" w:firstLineChars="200"/>
        <w:textAlignment w:val="auto"/>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 xml:space="preserve">（4）职业素质 </w:t>
      </w:r>
    </w:p>
    <w:p w14:paraId="40995D2A">
      <w:pPr>
        <w:keepNext w:val="0"/>
        <w:keepLines w:val="0"/>
        <w:pageBreakBefore w:val="0"/>
        <w:widowControl w:val="0"/>
        <w:kinsoku/>
        <w:wordWrap/>
        <w:overflowPunct/>
        <w:topLinePunct w:val="0"/>
        <w:autoSpaceDE/>
        <w:autoSpaceDN/>
        <w:bidi w:val="0"/>
        <w:adjustRightInd w:val="0"/>
        <w:snapToGrid w:val="0"/>
        <w:spacing w:line="388" w:lineRule="exact"/>
        <w:ind w:firstLine="480" w:firstLineChars="200"/>
        <w:textAlignment w:val="auto"/>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树立正确的择业观，具有健康的择业心态、正确的择业方法和工作取向，保守职业秘密</w:t>
      </w:r>
      <w:r>
        <w:rPr>
          <w:rFonts w:hint="eastAsia" w:ascii="方正书宋简体" w:hAnsi="楷体" w:eastAsia="方正书宋简体" w:cs="MS Gothic"/>
          <w:color w:val="000000"/>
          <w:sz w:val="24"/>
          <w:lang w:eastAsia="zh-CN"/>
        </w:rPr>
        <w:t>；</w:t>
      </w:r>
      <w:r>
        <w:rPr>
          <w:rFonts w:hint="eastAsia" w:ascii="方正书宋简体" w:hAnsi="楷体" w:eastAsia="方正书宋简体" w:cs="MS Gothic"/>
          <w:color w:val="000000"/>
          <w:sz w:val="24"/>
        </w:rPr>
        <w:t>树立爱岗敬业、积极进取、文明生产、团结协作、热爱集体、求新追优的职业精神</w:t>
      </w:r>
      <w:r>
        <w:rPr>
          <w:rFonts w:hint="eastAsia" w:ascii="方正书宋简体" w:hAnsi="楷体" w:eastAsia="方正书宋简体" w:cs="MS Gothic"/>
          <w:color w:val="000000"/>
          <w:sz w:val="24"/>
          <w:lang w:eastAsia="zh-CN"/>
        </w:rPr>
        <w:t>；</w:t>
      </w:r>
      <w:r>
        <w:rPr>
          <w:rFonts w:hint="eastAsia" w:ascii="方正书宋简体" w:hAnsi="楷体" w:eastAsia="方正书宋简体" w:cs="MS Gothic"/>
          <w:color w:val="000000"/>
          <w:sz w:val="24"/>
        </w:rPr>
        <w:t>树立遵纪守法、诚信品质，建立正确的人生价值观,具有高度的社会责任心、廉洁自律、克服困难的毅力、乐于奉献的精神</w:t>
      </w:r>
      <w:r>
        <w:rPr>
          <w:rFonts w:hint="eastAsia" w:ascii="方正书宋简体" w:hAnsi="楷体" w:eastAsia="方正书宋简体" w:cs="MS Gothic"/>
          <w:color w:val="000000"/>
          <w:sz w:val="24"/>
          <w:lang w:eastAsia="zh-CN"/>
        </w:rPr>
        <w:t>；</w:t>
      </w:r>
      <w:r>
        <w:rPr>
          <w:rFonts w:hint="eastAsia" w:ascii="方正书宋简体" w:hAnsi="楷体" w:eastAsia="方正书宋简体" w:cs="MS Gothic"/>
          <w:color w:val="000000"/>
          <w:sz w:val="24"/>
        </w:rPr>
        <w:t>具有良好的环保意识、质量意识、安全意识</w:t>
      </w:r>
      <w:r>
        <w:rPr>
          <w:rFonts w:hint="eastAsia" w:ascii="方正书宋简体" w:hAnsi="楷体" w:eastAsia="方正书宋简体" w:cs="MS Gothic"/>
          <w:color w:val="000000"/>
          <w:sz w:val="24"/>
          <w:lang w:eastAsia="zh-CN"/>
        </w:rPr>
        <w:t>；</w:t>
      </w:r>
      <w:r>
        <w:rPr>
          <w:rFonts w:hint="eastAsia" w:ascii="方正书宋简体" w:hAnsi="楷体" w:eastAsia="方正书宋简体" w:cs="MS Gothic"/>
          <w:color w:val="000000"/>
          <w:sz w:val="24"/>
        </w:rPr>
        <w:t>熟悉适应优秀企业文化和经营理念,具备良好的团队合作、交流沟通、组织协调能力</w:t>
      </w:r>
      <w:r>
        <w:rPr>
          <w:rFonts w:hint="eastAsia" w:ascii="方正书宋简体" w:hAnsi="楷体" w:eastAsia="方正书宋简体" w:cs="MS Gothic"/>
          <w:color w:val="000000"/>
          <w:sz w:val="24"/>
          <w:lang w:eastAsia="zh-CN"/>
        </w:rPr>
        <w:t>；</w:t>
      </w:r>
      <w:r>
        <w:rPr>
          <w:rFonts w:hint="eastAsia" w:ascii="方正书宋简体" w:hAnsi="楷体" w:eastAsia="方正书宋简体" w:cs="MS Gothic"/>
          <w:color w:val="000000"/>
          <w:sz w:val="24"/>
        </w:rPr>
        <w:t>具有良好的职业道德，严格执行工作程序、工作规范、工艺文件和安全操作规程，树立高度的工作责任心及严谨的工作作风。</w:t>
      </w:r>
    </w:p>
    <w:p w14:paraId="65F595EE">
      <w:pPr>
        <w:keepNext w:val="0"/>
        <w:keepLines w:val="0"/>
        <w:pageBreakBefore w:val="0"/>
        <w:widowControl w:val="0"/>
        <w:kinsoku/>
        <w:wordWrap/>
        <w:overflowPunct/>
        <w:topLinePunct w:val="0"/>
        <w:autoSpaceDE/>
        <w:autoSpaceDN/>
        <w:bidi w:val="0"/>
        <w:adjustRightInd w:val="0"/>
        <w:snapToGrid w:val="0"/>
        <w:spacing w:line="388" w:lineRule="exact"/>
        <w:ind w:firstLine="480" w:firstLineChars="200"/>
        <w:textAlignment w:val="auto"/>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2．知识</w:t>
      </w:r>
    </w:p>
    <w:p w14:paraId="680A9C4A">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（1）掌握必备的思想政治理论、科学文化基础知识和中华优秀传统文化知识；</w:t>
      </w:r>
    </w:p>
    <w:p w14:paraId="0072FBC4">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（2）熟悉与本专业相关的法律法规以及环境保护、安全消防、文明生产等相关知识；</w:t>
      </w:r>
    </w:p>
    <w:p w14:paraId="125E5E91">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（3）掌握机械制图、电工与电子技术、机械设计基础、液压与气动、传感器与检测、运动控制、PLC控制、工业机器人等技术的专业知识；</w:t>
      </w:r>
    </w:p>
    <w:p w14:paraId="2B90E129">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（4）掌握典型机电一体化设备的安装调试、维护与维修，自动化生产线和智能制造单元的运行与维护等机电综合知识；</w:t>
      </w:r>
    </w:p>
    <w:p w14:paraId="687634F3">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（5）掌握工业机器人应用系统集成、工业机器人典型应用及系统维护、工业机器人辅具设计、制造等相关知识；</w:t>
      </w:r>
    </w:p>
    <w:p w14:paraId="5BE8CE73">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（6）掌握智能控制系统的集成应用、MES系统、工控网络、数据库等相关知识；</w:t>
      </w:r>
    </w:p>
    <w:p w14:paraId="76BFC586">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（7）掌握机电设备精度检测、设备维护、维修基本理论、修复技术、设备故障检测与诊断等相关知识；</w:t>
      </w:r>
    </w:p>
    <w:p w14:paraId="14F3E9A9">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（8）掌握数控机床电气控制系统安装与调试、数控机床程序编制和操作、数控机床故障诊断与维修等相关知识；</w:t>
      </w:r>
    </w:p>
    <w:p w14:paraId="0E8ABED8">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（9）了解机电设备安装调试、维护维修相关国家标准与安全规范。</w:t>
      </w:r>
    </w:p>
    <w:p w14:paraId="283E5BF0">
      <w:pPr>
        <w:keepNext w:val="0"/>
        <w:keepLines w:val="0"/>
        <w:pageBreakBefore w:val="0"/>
        <w:widowControl w:val="0"/>
        <w:kinsoku/>
        <w:wordWrap/>
        <w:overflowPunct/>
        <w:topLinePunct w:val="0"/>
        <w:autoSpaceDE/>
        <w:autoSpaceDN/>
        <w:bidi w:val="0"/>
        <w:adjustRightInd w:val="0"/>
        <w:snapToGrid w:val="0"/>
        <w:spacing w:line="388" w:lineRule="exact"/>
        <w:ind w:firstLine="480" w:firstLineChars="200"/>
        <w:textAlignment w:val="auto"/>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3．能力</w:t>
      </w:r>
    </w:p>
    <w:p w14:paraId="11F8EF46">
      <w:pPr>
        <w:keepNext w:val="0"/>
        <w:keepLines w:val="0"/>
        <w:pageBreakBefore w:val="0"/>
        <w:widowControl w:val="0"/>
        <w:kinsoku/>
        <w:wordWrap/>
        <w:overflowPunct/>
        <w:topLinePunct w:val="0"/>
        <w:autoSpaceDE/>
        <w:autoSpaceDN/>
        <w:bidi w:val="0"/>
        <w:adjustRightInd w:val="0"/>
        <w:snapToGrid w:val="0"/>
        <w:spacing w:line="388" w:lineRule="exact"/>
        <w:ind w:firstLine="480" w:firstLineChars="200"/>
        <w:textAlignment w:val="auto"/>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（1）专业能力</w:t>
      </w:r>
    </w:p>
    <w:p w14:paraId="176A7851">
      <w:pPr>
        <w:keepNext w:val="0"/>
        <w:keepLines w:val="0"/>
        <w:pageBreakBefore w:val="0"/>
        <w:widowControl w:val="0"/>
        <w:kinsoku/>
        <w:wordWrap/>
        <w:overflowPunct/>
        <w:topLinePunct w:val="0"/>
        <w:autoSpaceDE/>
        <w:autoSpaceDN/>
        <w:bidi w:val="0"/>
        <w:adjustRightInd w:val="0"/>
        <w:snapToGrid w:val="0"/>
        <w:spacing w:line="388" w:lineRule="exact"/>
        <w:ind w:firstLine="480" w:firstLineChars="200"/>
        <w:textAlignment w:val="auto"/>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①能进行识读与绘(编)制，机电设备(产品)工程图及技术文件的能力。</w:t>
      </w:r>
    </w:p>
    <w:p w14:paraId="20B74D8B">
      <w:pPr>
        <w:keepNext w:val="0"/>
        <w:keepLines w:val="0"/>
        <w:pageBreakBefore w:val="0"/>
        <w:widowControl w:val="0"/>
        <w:kinsoku/>
        <w:wordWrap/>
        <w:overflowPunct/>
        <w:topLinePunct w:val="0"/>
        <w:autoSpaceDE/>
        <w:autoSpaceDN/>
        <w:bidi w:val="0"/>
        <w:adjustRightInd w:val="0"/>
        <w:snapToGrid w:val="0"/>
        <w:spacing w:line="388" w:lineRule="exact"/>
        <w:ind w:firstLine="480" w:firstLineChars="200"/>
        <w:textAlignment w:val="auto"/>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②能够进行详细的零件图纸分析，能用专业检测工具进行设备及零部件的质量检测，设计较合理的工艺流程方案，正确完成工序卡片的编制，进行机械设备零部件加工与改造，进行生产组织管理。</w:t>
      </w:r>
    </w:p>
    <w:p w14:paraId="5B696C59">
      <w:pPr>
        <w:keepNext w:val="0"/>
        <w:keepLines w:val="0"/>
        <w:pageBreakBefore w:val="0"/>
        <w:widowControl w:val="0"/>
        <w:kinsoku/>
        <w:wordWrap/>
        <w:overflowPunct/>
        <w:topLinePunct w:val="0"/>
        <w:autoSpaceDE/>
        <w:autoSpaceDN/>
        <w:bidi w:val="0"/>
        <w:adjustRightInd w:val="0"/>
        <w:snapToGrid w:val="0"/>
        <w:spacing w:line="388" w:lineRule="exact"/>
        <w:ind w:firstLine="480" w:firstLineChars="200"/>
        <w:textAlignment w:val="auto"/>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③能正确使用各类仪器仪表、量具及工具熟练的利用工具书和技术手册的能力。</w:t>
      </w:r>
    </w:p>
    <w:p w14:paraId="4352E0C3">
      <w:pPr>
        <w:keepNext w:val="0"/>
        <w:keepLines w:val="0"/>
        <w:pageBreakBefore w:val="0"/>
        <w:widowControl w:val="0"/>
        <w:kinsoku/>
        <w:wordWrap/>
        <w:overflowPunct/>
        <w:topLinePunct w:val="0"/>
        <w:autoSpaceDE/>
        <w:autoSpaceDN/>
        <w:bidi w:val="0"/>
        <w:adjustRightInd w:val="0"/>
        <w:snapToGrid w:val="0"/>
        <w:spacing w:line="388" w:lineRule="exact"/>
        <w:ind w:firstLine="480" w:firstLineChars="200"/>
        <w:textAlignment w:val="auto"/>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④能够熟练应用各类专业软件完成图纸绘制、PLC 程序编写及设备调试等工作，能够熟练使用各类专业工具完成设备系统的安装、调试等工作。</w:t>
      </w:r>
    </w:p>
    <w:p w14:paraId="0E7E24CB">
      <w:pPr>
        <w:keepNext w:val="0"/>
        <w:keepLines w:val="0"/>
        <w:pageBreakBefore w:val="0"/>
        <w:widowControl w:val="0"/>
        <w:kinsoku/>
        <w:wordWrap/>
        <w:overflowPunct/>
        <w:topLinePunct w:val="0"/>
        <w:autoSpaceDE/>
        <w:autoSpaceDN/>
        <w:bidi w:val="0"/>
        <w:adjustRightInd w:val="0"/>
        <w:snapToGrid w:val="0"/>
        <w:spacing w:line="388" w:lineRule="exact"/>
        <w:ind w:firstLine="480" w:firstLineChars="200"/>
        <w:textAlignment w:val="auto"/>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⑤能够进行机器人项目的方案设计、外围设备选型、程序编制与现场调试、机器人故障诊断与排除。</w:t>
      </w:r>
    </w:p>
    <w:p w14:paraId="096C9BE1">
      <w:pPr>
        <w:keepNext w:val="0"/>
        <w:keepLines w:val="0"/>
        <w:pageBreakBefore w:val="0"/>
        <w:widowControl w:val="0"/>
        <w:kinsoku/>
        <w:wordWrap/>
        <w:overflowPunct/>
        <w:topLinePunct w:val="0"/>
        <w:autoSpaceDE/>
        <w:autoSpaceDN/>
        <w:bidi w:val="0"/>
        <w:adjustRightInd w:val="0"/>
        <w:snapToGrid w:val="0"/>
        <w:spacing w:line="388" w:lineRule="exact"/>
        <w:ind w:firstLine="480" w:firstLineChars="200"/>
        <w:textAlignment w:val="auto"/>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⑥能进行机电产品销售及技术服务的能力。</w:t>
      </w:r>
    </w:p>
    <w:p w14:paraId="6EBF0A4C">
      <w:pPr>
        <w:keepNext w:val="0"/>
        <w:keepLines w:val="0"/>
        <w:pageBreakBefore w:val="0"/>
        <w:widowControl w:val="0"/>
        <w:kinsoku/>
        <w:wordWrap/>
        <w:overflowPunct/>
        <w:topLinePunct w:val="0"/>
        <w:autoSpaceDE/>
        <w:autoSpaceDN/>
        <w:bidi w:val="0"/>
        <w:adjustRightInd w:val="0"/>
        <w:snapToGrid w:val="0"/>
        <w:spacing w:line="388" w:lineRule="exact"/>
        <w:ind w:firstLine="480" w:firstLineChars="200"/>
        <w:textAlignment w:val="auto"/>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⑦能进行自动化生产线(设备)综合分析、技术改造、整体设计、运行调试与维护的能力。</w:t>
      </w:r>
    </w:p>
    <w:p w14:paraId="036E39D4">
      <w:pPr>
        <w:keepNext w:val="0"/>
        <w:keepLines w:val="0"/>
        <w:pageBreakBefore w:val="0"/>
        <w:widowControl w:val="0"/>
        <w:kinsoku/>
        <w:wordWrap/>
        <w:overflowPunct/>
        <w:topLinePunct w:val="0"/>
        <w:autoSpaceDE/>
        <w:autoSpaceDN/>
        <w:bidi w:val="0"/>
        <w:adjustRightInd w:val="0"/>
        <w:snapToGrid w:val="0"/>
        <w:spacing w:line="388" w:lineRule="exact"/>
        <w:ind w:firstLine="480" w:firstLineChars="200"/>
        <w:textAlignment w:val="auto"/>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⑧掌握工作过程中的各类专业操作规范与流程，拥有较强责任感，工作过程细心负责，具有良好的语言表达、沟通能力以及成本和质量意识。</w:t>
      </w:r>
    </w:p>
    <w:p w14:paraId="02DC54BF">
      <w:pPr>
        <w:keepNext w:val="0"/>
        <w:keepLines w:val="0"/>
        <w:pageBreakBefore w:val="0"/>
        <w:widowControl w:val="0"/>
        <w:kinsoku/>
        <w:wordWrap/>
        <w:overflowPunct/>
        <w:topLinePunct w:val="0"/>
        <w:autoSpaceDE/>
        <w:autoSpaceDN/>
        <w:bidi w:val="0"/>
        <w:adjustRightInd w:val="0"/>
        <w:snapToGrid w:val="0"/>
        <w:spacing w:line="388" w:lineRule="exact"/>
        <w:ind w:firstLine="480" w:firstLineChars="200"/>
        <w:textAlignment w:val="auto"/>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 xml:space="preserve">（2）方法能力 </w:t>
      </w:r>
    </w:p>
    <w:p w14:paraId="19135A12">
      <w:pPr>
        <w:keepNext w:val="0"/>
        <w:keepLines w:val="0"/>
        <w:pageBreakBefore w:val="0"/>
        <w:widowControl w:val="0"/>
        <w:kinsoku/>
        <w:wordWrap/>
        <w:overflowPunct/>
        <w:topLinePunct w:val="0"/>
        <w:autoSpaceDE/>
        <w:autoSpaceDN/>
        <w:bidi w:val="0"/>
        <w:adjustRightInd w:val="0"/>
        <w:snapToGrid w:val="0"/>
        <w:spacing w:line="388" w:lineRule="exact"/>
        <w:ind w:firstLine="480" w:firstLineChars="200"/>
        <w:textAlignment w:val="auto"/>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①具备创新意识和自主学习，通过不同途径获取信息，能收集、记录、处理各类信息资料。</w:t>
      </w:r>
    </w:p>
    <w:p w14:paraId="2EF2E7F2">
      <w:pPr>
        <w:keepNext w:val="0"/>
        <w:keepLines w:val="0"/>
        <w:pageBreakBefore w:val="0"/>
        <w:widowControl w:val="0"/>
        <w:kinsoku/>
        <w:wordWrap/>
        <w:overflowPunct/>
        <w:topLinePunct w:val="0"/>
        <w:autoSpaceDE/>
        <w:autoSpaceDN/>
        <w:bidi w:val="0"/>
        <w:adjustRightInd w:val="0"/>
        <w:snapToGrid w:val="0"/>
        <w:spacing w:line="388" w:lineRule="exact"/>
        <w:ind w:firstLine="480" w:firstLineChars="200"/>
        <w:textAlignment w:val="auto"/>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②综合运用专业知识，制定工作计划，提出解决实际问题的方法，评估工作绩效。</w:t>
      </w:r>
    </w:p>
    <w:p w14:paraId="7003A8FF">
      <w:pPr>
        <w:keepNext w:val="0"/>
        <w:keepLines w:val="0"/>
        <w:pageBreakBefore w:val="0"/>
        <w:widowControl w:val="0"/>
        <w:kinsoku/>
        <w:wordWrap/>
        <w:overflowPunct/>
        <w:topLinePunct w:val="0"/>
        <w:autoSpaceDE/>
        <w:autoSpaceDN/>
        <w:bidi w:val="0"/>
        <w:adjustRightInd w:val="0"/>
        <w:snapToGrid w:val="0"/>
        <w:spacing w:line="388" w:lineRule="exact"/>
        <w:ind w:firstLine="480" w:firstLineChars="200"/>
        <w:textAlignment w:val="auto"/>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③具有对新知识、新技术的学习能力。</w:t>
      </w:r>
    </w:p>
    <w:p w14:paraId="4A7532E5">
      <w:pPr>
        <w:keepNext w:val="0"/>
        <w:keepLines w:val="0"/>
        <w:pageBreakBefore w:val="0"/>
        <w:widowControl w:val="0"/>
        <w:kinsoku/>
        <w:wordWrap/>
        <w:overflowPunct/>
        <w:topLinePunct w:val="0"/>
        <w:autoSpaceDE/>
        <w:autoSpaceDN/>
        <w:bidi w:val="0"/>
        <w:adjustRightInd w:val="0"/>
        <w:snapToGrid w:val="0"/>
        <w:spacing w:line="388" w:lineRule="exact"/>
        <w:ind w:firstLine="480" w:firstLineChars="200"/>
        <w:textAlignment w:val="auto"/>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④具有全局思维与系统思维。</w:t>
      </w:r>
    </w:p>
    <w:p w14:paraId="53FC3DCE">
      <w:pPr>
        <w:keepNext w:val="0"/>
        <w:keepLines w:val="0"/>
        <w:pageBreakBefore w:val="0"/>
        <w:widowControl w:val="0"/>
        <w:kinsoku/>
        <w:wordWrap/>
        <w:overflowPunct/>
        <w:topLinePunct w:val="0"/>
        <w:autoSpaceDE/>
        <w:autoSpaceDN/>
        <w:bidi w:val="0"/>
        <w:adjustRightInd w:val="0"/>
        <w:snapToGrid w:val="0"/>
        <w:spacing w:line="388" w:lineRule="exact"/>
        <w:ind w:firstLine="480" w:firstLineChars="200"/>
        <w:textAlignment w:val="auto"/>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⑤具有时间管理能力、决策能力、创新能力。</w:t>
      </w:r>
    </w:p>
    <w:p w14:paraId="6729BCEC">
      <w:pPr>
        <w:keepNext w:val="0"/>
        <w:keepLines w:val="0"/>
        <w:pageBreakBefore w:val="0"/>
        <w:widowControl w:val="0"/>
        <w:kinsoku/>
        <w:wordWrap/>
        <w:overflowPunct/>
        <w:topLinePunct w:val="0"/>
        <w:autoSpaceDE/>
        <w:autoSpaceDN/>
        <w:bidi w:val="0"/>
        <w:adjustRightInd w:val="0"/>
        <w:snapToGrid w:val="0"/>
        <w:spacing w:line="388" w:lineRule="exact"/>
        <w:ind w:firstLine="480" w:firstLineChars="200"/>
        <w:textAlignment w:val="auto"/>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⑥工作成果的评价及持续改进能力。</w:t>
      </w:r>
    </w:p>
    <w:p w14:paraId="2C633D77">
      <w:pPr>
        <w:keepNext w:val="0"/>
        <w:keepLines w:val="0"/>
        <w:pageBreakBefore w:val="0"/>
        <w:widowControl w:val="0"/>
        <w:kinsoku/>
        <w:wordWrap/>
        <w:overflowPunct/>
        <w:topLinePunct w:val="0"/>
        <w:autoSpaceDE/>
        <w:autoSpaceDN/>
        <w:bidi w:val="0"/>
        <w:adjustRightInd w:val="0"/>
        <w:snapToGrid w:val="0"/>
        <w:spacing w:line="388" w:lineRule="exact"/>
        <w:ind w:firstLine="480" w:firstLineChars="200"/>
        <w:textAlignment w:val="auto"/>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（3）社会能力</w:t>
      </w:r>
    </w:p>
    <w:p w14:paraId="5F549BD2">
      <w:pPr>
        <w:keepNext w:val="0"/>
        <w:keepLines w:val="0"/>
        <w:pageBreakBefore w:val="0"/>
        <w:widowControl w:val="0"/>
        <w:kinsoku/>
        <w:wordWrap/>
        <w:overflowPunct/>
        <w:topLinePunct w:val="0"/>
        <w:autoSpaceDE/>
        <w:autoSpaceDN/>
        <w:bidi w:val="0"/>
        <w:adjustRightInd w:val="0"/>
        <w:snapToGrid w:val="0"/>
        <w:spacing w:line="388" w:lineRule="exact"/>
        <w:ind w:firstLine="480" w:firstLineChars="200"/>
        <w:textAlignment w:val="auto"/>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①良好的思想政治素质，较强的法律意识，敢于承担社会责任。</w:t>
      </w:r>
    </w:p>
    <w:p w14:paraId="64D19894">
      <w:pPr>
        <w:keepNext w:val="0"/>
        <w:keepLines w:val="0"/>
        <w:pageBreakBefore w:val="0"/>
        <w:widowControl w:val="0"/>
        <w:kinsoku/>
        <w:wordWrap/>
        <w:overflowPunct/>
        <w:topLinePunct w:val="0"/>
        <w:autoSpaceDE/>
        <w:autoSpaceDN/>
        <w:bidi w:val="0"/>
        <w:adjustRightInd w:val="0"/>
        <w:snapToGrid w:val="0"/>
        <w:spacing w:line="388" w:lineRule="exact"/>
        <w:ind w:firstLine="480" w:firstLineChars="200"/>
        <w:textAlignment w:val="auto"/>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②良好的职业道德和严谨的行为规范。</w:t>
      </w:r>
    </w:p>
    <w:p w14:paraId="4D6AC313">
      <w:pPr>
        <w:keepNext w:val="0"/>
        <w:keepLines w:val="0"/>
        <w:pageBreakBefore w:val="0"/>
        <w:widowControl w:val="0"/>
        <w:kinsoku/>
        <w:wordWrap/>
        <w:overflowPunct/>
        <w:topLinePunct w:val="0"/>
        <w:autoSpaceDE/>
        <w:autoSpaceDN/>
        <w:bidi w:val="0"/>
        <w:adjustRightInd w:val="0"/>
        <w:snapToGrid w:val="0"/>
        <w:spacing w:line="388" w:lineRule="exact"/>
        <w:ind w:firstLine="480" w:firstLineChars="200"/>
        <w:textAlignment w:val="auto"/>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③具备较强的团队合作意识和生产组织协调管理实施能力。</w:t>
      </w:r>
    </w:p>
    <w:p w14:paraId="756405B6">
      <w:pPr>
        <w:keepNext w:val="0"/>
        <w:keepLines w:val="0"/>
        <w:pageBreakBefore w:val="0"/>
        <w:widowControl w:val="0"/>
        <w:kinsoku/>
        <w:wordWrap/>
        <w:overflowPunct/>
        <w:topLinePunct w:val="0"/>
        <w:autoSpaceDE/>
        <w:autoSpaceDN/>
        <w:bidi w:val="0"/>
        <w:adjustRightInd w:val="0"/>
        <w:snapToGrid w:val="0"/>
        <w:spacing w:line="388" w:lineRule="exact"/>
        <w:ind w:firstLine="480" w:firstLineChars="200"/>
        <w:textAlignment w:val="auto"/>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④良好的心理承受力，良好的自信心和克服困难的能力。</w:t>
      </w:r>
    </w:p>
    <w:p w14:paraId="77DF9E76">
      <w:pPr>
        <w:keepNext w:val="0"/>
        <w:keepLines w:val="0"/>
        <w:pageBreakBefore w:val="0"/>
        <w:widowControl w:val="0"/>
        <w:kinsoku/>
        <w:wordWrap/>
        <w:overflowPunct/>
        <w:topLinePunct w:val="0"/>
        <w:autoSpaceDE/>
        <w:autoSpaceDN/>
        <w:bidi w:val="0"/>
        <w:adjustRightInd w:val="0"/>
        <w:snapToGrid w:val="0"/>
        <w:spacing w:line="388" w:lineRule="exact"/>
        <w:ind w:firstLine="480" w:firstLineChars="200"/>
        <w:textAlignment w:val="auto"/>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⑤较强的对外交流表达能力、人际沟通能力。</w:t>
      </w:r>
    </w:p>
    <w:p w14:paraId="2F151F0E">
      <w:pPr>
        <w:keepNext w:val="0"/>
        <w:keepLines w:val="0"/>
        <w:pageBreakBefore w:val="0"/>
        <w:widowControl w:val="0"/>
        <w:kinsoku/>
        <w:wordWrap/>
        <w:overflowPunct/>
        <w:topLinePunct w:val="0"/>
        <w:autoSpaceDE/>
        <w:autoSpaceDN/>
        <w:bidi w:val="0"/>
        <w:adjustRightInd w:val="0"/>
        <w:snapToGrid w:val="0"/>
        <w:spacing w:line="388" w:lineRule="exact"/>
        <w:ind w:firstLine="480" w:firstLineChars="200"/>
        <w:textAlignment w:val="auto"/>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⑥熟练使用计算机获取信息并进行交流沟通的能力。</w:t>
      </w:r>
    </w:p>
    <w:p w14:paraId="1A7E3D95">
      <w:pPr>
        <w:keepNext w:val="0"/>
        <w:keepLines w:val="0"/>
        <w:pageBreakBefore w:val="0"/>
        <w:widowControl w:val="0"/>
        <w:kinsoku/>
        <w:wordWrap/>
        <w:overflowPunct/>
        <w:topLinePunct w:val="0"/>
        <w:autoSpaceDE/>
        <w:autoSpaceDN/>
        <w:bidi w:val="0"/>
        <w:adjustRightInd w:val="0"/>
        <w:snapToGrid w:val="0"/>
        <w:spacing w:line="388" w:lineRule="exact"/>
        <w:ind w:firstLine="480" w:firstLineChars="200"/>
        <w:textAlignment w:val="auto"/>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⑦能识别外语专业标记，可阅读简单的外文资料，具备初步的外语交流能力。</w:t>
      </w:r>
    </w:p>
    <w:p w14:paraId="72173934">
      <w:pPr>
        <w:keepNext w:val="0"/>
        <w:keepLines w:val="0"/>
        <w:pageBreakBefore w:val="0"/>
        <w:widowControl w:val="0"/>
        <w:kinsoku/>
        <w:wordWrap/>
        <w:overflowPunct/>
        <w:topLinePunct w:val="0"/>
        <w:autoSpaceDE/>
        <w:autoSpaceDN/>
        <w:bidi w:val="0"/>
        <w:adjustRightInd w:val="0"/>
        <w:snapToGrid w:val="0"/>
        <w:spacing w:line="388" w:lineRule="exact"/>
        <w:ind w:firstLine="480" w:firstLineChars="200"/>
        <w:textAlignment w:val="auto"/>
        <w:rPr>
          <w:rFonts w:hint="eastAsia" w:ascii="方正书宋简体" w:hAnsi="楷体" w:eastAsia="方正书宋简体" w:cs="MS Gothic"/>
          <w:color w:val="000000"/>
          <w:sz w:val="24"/>
          <w:lang w:val="en-US" w:eastAsia="zh-CN"/>
        </w:rPr>
      </w:pPr>
      <w:r>
        <w:rPr>
          <w:rFonts w:hint="eastAsia" w:ascii="方正书宋简体" w:hAnsi="楷体" w:eastAsia="方正书宋简体" w:cs="MS Gothic"/>
          <w:color w:val="000000"/>
          <w:sz w:val="24"/>
          <w:lang w:val="en-US" w:eastAsia="zh-CN"/>
        </w:rPr>
        <w:t>⑧具备质量控制与安全节能环保意识。</w:t>
      </w:r>
    </w:p>
    <w:p w14:paraId="2239754C">
      <w:pPr>
        <w:adjustRightInd w:val="0"/>
        <w:snapToGrid w:val="0"/>
        <w:spacing w:before="120" w:beforeLines="50" w:after="120" w:afterLines="50" w:line="380" w:lineRule="exact"/>
        <w:ind w:firstLine="560" w:firstLineChars="200"/>
        <w:rPr>
          <w:rFonts w:hint="eastAsia" w:ascii="方正黑体简体" w:hAnsi="楷体" w:eastAsia="方正黑体简体" w:cs="MS Gothic"/>
          <w:color w:val="000000"/>
          <w:sz w:val="28"/>
          <w:szCs w:val="28"/>
          <w:lang w:val="en-US" w:eastAsia="zh-CN"/>
        </w:rPr>
      </w:pPr>
      <w:bookmarkStart w:id="17" w:name="_Toc23309"/>
      <w:r>
        <w:rPr>
          <w:rFonts w:hint="eastAsia" w:ascii="方正黑体简体" w:hAnsi="楷体" w:eastAsia="方正黑体简体" w:cs="MS Gothic"/>
          <w:color w:val="000000"/>
          <w:sz w:val="28"/>
          <w:szCs w:val="28"/>
          <w:lang w:val="en-US" w:eastAsia="zh-CN"/>
        </w:rPr>
        <w:t>六、典型工作任务与职业能力分析</w:t>
      </w:r>
      <w:bookmarkEnd w:id="17"/>
    </w:p>
    <w:p w14:paraId="287F4578">
      <w:pPr>
        <w:adjustRightInd w:val="0"/>
        <w:snapToGrid w:val="0"/>
        <w:spacing w:after="120" w:afterLines="50" w:line="388" w:lineRule="exact"/>
        <w:jc w:val="center"/>
        <w:rPr>
          <w:rFonts w:hint="eastAsia" w:ascii="方正黑体简体" w:hAnsi="宋体" w:eastAsia="方正黑体简体" w:cs="Times New Roman"/>
          <w:bCs/>
          <w:sz w:val="24"/>
          <w:szCs w:val="24"/>
          <w:lang w:val="en-US" w:eastAsia="zh-CN"/>
        </w:rPr>
      </w:pPr>
      <w:r>
        <w:rPr>
          <w:rFonts w:hint="eastAsia" w:ascii="方正黑体简体" w:hAnsi="宋体" w:eastAsia="方正黑体简体" w:cs="Times New Roman"/>
          <w:bCs/>
          <w:sz w:val="24"/>
          <w:szCs w:val="24"/>
          <w:lang w:val="en-US" w:eastAsia="zh-CN"/>
        </w:rPr>
        <w:t>表1  典型工作任务与职业能力表</w:t>
      </w:r>
    </w:p>
    <w:tbl>
      <w:tblPr>
        <w:tblStyle w:val="29"/>
        <w:tblW w:w="914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27"/>
        <w:gridCol w:w="1611"/>
        <w:gridCol w:w="3227"/>
        <w:gridCol w:w="3079"/>
      </w:tblGrid>
      <w:tr w14:paraId="4A8669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 w:hRule="atLeast"/>
          <w:tblHeader/>
        </w:trPr>
        <w:tc>
          <w:tcPr>
            <w:tcW w:w="1227" w:type="dxa"/>
            <w:vAlign w:val="center"/>
          </w:tcPr>
          <w:p w14:paraId="6747566E">
            <w:pPr>
              <w:adjustRightInd w:val="0"/>
              <w:snapToGrid w:val="0"/>
              <w:jc w:val="center"/>
              <w:rPr>
                <w:rFonts w:hint="eastAsia" w:ascii="方正书宋简体" w:hAnsi="楷体" w:eastAsia="方正书宋简体" w:cs="MS Gothic"/>
                <w:b/>
                <w:color w:val="000000"/>
                <w:szCs w:val="21"/>
              </w:rPr>
            </w:pPr>
            <w:r>
              <w:rPr>
                <w:rFonts w:hint="eastAsia" w:ascii="方正书宋简体" w:hAnsi="楷体" w:eastAsia="方正书宋简体" w:cs="MS Gothic"/>
                <w:b/>
                <w:color w:val="000000"/>
                <w:szCs w:val="21"/>
              </w:rPr>
              <w:t>工作岗位</w:t>
            </w:r>
          </w:p>
        </w:tc>
        <w:tc>
          <w:tcPr>
            <w:tcW w:w="1611" w:type="dxa"/>
            <w:vAlign w:val="center"/>
          </w:tcPr>
          <w:p w14:paraId="33AB3940">
            <w:pPr>
              <w:adjustRightInd w:val="0"/>
              <w:snapToGrid w:val="0"/>
              <w:jc w:val="center"/>
              <w:rPr>
                <w:rFonts w:hint="eastAsia" w:ascii="方正书宋简体" w:hAnsi="楷体" w:eastAsia="方正书宋简体" w:cs="MS Gothic"/>
                <w:b/>
                <w:color w:val="000000"/>
                <w:szCs w:val="21"/>
              </w:rPr>
            </w:pPr>
            <w:r>
              <w:rPr>
                <w:rFonts w:hint="eastAsia" w:ascii="方正书宋简体" w:hAnsi="楷体" w:eastAsia="方正书宋简体" w:cs="MS Gothic"/>
                <w:b/>
                <w:color w:val="000000"/>
                <w:szCs w:val="21"/>
              </w:rPr>
              <w:t>典型工作任务</w:t>
            </w:r>
          </w:p>
        </w:tc>
        <w:tc>
          <w:tcPr>
            <w:tcW w:w="3227" w:type="dxa"/>
            <w:vAlign w:val="center"/>
          </w:tcPr>
          <w:p w14:paraId="6BEA4316">
            <w:pPr>
              <w:adjustRightInd w:val="0"/>
              <w:snapToGrid w:val="0"/>
              <w:jc w:val="center"/>
              <w:rPr>
                <w:rFonts w:hint="eastAsia" w:ascii="方正书宋简体" w:hAnsi="楷体" w:eastAsia="方正书宋简体" w:cs="MS Gothic"/>
                <w:b/>
                <w:color w:val="000000"/>
                <w:szCs w:val="21"/>
              </w:rPr>
            </w:pPr>
            <w:r>
              <w:rPr>
                <w:rFonts w:hint="eastAsia" w:ascii="方正书宋简体" w:hAnsi="楷体" w:eastAsia="方正书宋简体" w:cs="MS Gothic"/>
                <w:b/>
                <w:color w:val="000000"/>
                <w:szCs w:val="21"/>
              </w:rPr>
              <w:t>职业能力（素质、知识、能力）</w:t>
            </w:r>
          </w:p>
        </w:tc>
        <w:tc>
          <w:tcPr>
            <w:tcW w:w="3079" w:type="dxa"/>
            <w:vAlign w:val="center"/>
          </w:tcPr>
          <w:p w14:paraId="3594860A">
            <w:pPr>
              <w:adjustRightInd w:val="0"/>
              <w:snapToGrid w:val="0"/>
              <w:jc w:val="center"/>
              <w:rPr>
                <w:rFonts w:hint="eastAsia" w:ascii="方正书宋简体" w:hAnsi="楷体" w:eastAsia="方正书宋简体" w:cs="MS Gothic"/>
                <w:b/>
                <w:color w:val="000000"/>
                <w:szCs w:val="21"/>
              </w:rPr>
            </w:pPr>
            <w:r>
              <w:rPr>
                <w:rFonts w:hint="eastAsia" w:ascii="方正书宋简体" w:hAnsi="楷体" w:eastAsia="方正书宋简体" w:cs="MS Gothic"/>
                <w:b/>
                <w:color w:val="000000"/>
                <w:szCs w:val="21"/>
              </w:rPr>
              <w:t>支撑课程</w:t>
            </w:r>
          </w:p>
        </w:tc>
      </w:tr>
      <w:tr w14:paraId="467956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16" w:hRule="atLeast"/>
        </w:trPr>
        <w:tc>
          <w:tcPr>
            <w:tcW w:w="1227" w:type="dxa"/>
            <w:vMerge w:val="restart"/>
            <w:tcBorders>
              <w:bottom w:val="nil"/>
            </w:tcBorders>
            <w:vAlign w:val="center"/>
          </w:tcPr>
          <w:p w14:paraId="667FE0D3">
            <w:pPr>
              <w:adjustRightInd w:val="0"/>
              <w:snapToGrid w:val="0"/>
              <w:jc w:val="left"/>
              <w:rPr>
                <w:rFonts w:hint="eastAsia" w:ascii="方正书宋简体" w:hAnsi="楷体" w:eastAsia="方正书宋简体" w:cs="MS Gothic"/>
                <w:color w:val="000000"/>
                <w:szCs w:val="21"/>
              </w:rPr>
            </w:pPr>
            <w:r>
              <w:rPr>
                <w:rFonts w:hint="eastAsia" w:ascii="方正书宋简体" w:hAnsi="楷体" w:eastAsia="方正书宋简体" w:cs="MS Gothic"/>
                <w:color w:val="000000"/>
                <w:szCs w:val="21"/>
              </w:rPr>
              <w:t>01机电设备安装与调试</w:t>
            </w:r>
          </w:p>
        </w:tc>
        <w:tc>
          <w:tcPr>
            <w:tcW w:w="1611" w:type="dxa"/>
            <w:vAlign w:val="center"/>
          </w:tcPr>
          <w:p w14:paraId="6FBC4646">
            <w:pPr>
              <w:adjustRightInd w:val="0"/>
              <w:snapToGrid w:val="0"/>
              <w:jc w:val="left"/>
              <w:rPr>
                <w:rFonts w:hint="eastAsia" w:ascii="方正书宋简体" w:hAnsi="楷体" w:eastAsia="方正书宋简体" w:cs="MS Gothic"/>
                <w:color w:val="000000"/>
                <w:szCs w:val="21"/>
              </w:rPr>
            </w:pPr>
            <w:r>
              <w:rPr>
                <w:rFonts w:hint="eastAsia" w:ascii="方正书宋简体" w:hAnsi="楷体" w:eastAsia="方正书宋简体" w:cs="MS Gothic"/>
                <w:color w:val="000000"/>
                <w:szCs w:val="21"/>
              </w:rPr>
              <w:t>01-01机电设备机械系统安装与调试</w:t>
            </w:r>
          </w:p>
        </w:tc>
        <w:tc>
          <w:tcPr>
            <w:tcW w:w="3227" w:type="dxa"/>
            <w:vAlign w:val="center"/>
          </w:tcPr>
          <w:p w14:paraId="4C34758D">
            <w:pPr>
              <w:adjustRightInd w:val="0"/>
              <w:snapToGrid w:val="0"/>
              <w:jc w:val="left"/>
              <w:rPr>
                <w:rFonts w:hint="eastAsia" w:ascii="方正书宋简体" w:hAnsi="楷体" w:eastAsia="方正书宋简体" w:cs="MS Gothic"/>
                <w:color w:val="000000"/>
                <w:szCs w:val="21"/>
              </w:rPr>
            </w:pPr>
            <w:r>
              <w:rPr>
                <w:rFonts w:hint="eastAsia" w:ascii="方正书宋简体" w:hAnsi="楷体" w:eastAsia="方正书宋简体" w:cs="MS Gothic"/>
                <w:color w:val="000000"/>
                <w:szCs w:val="21"/>
              </w:rPr>
              <w:t>01-01-01能分析机电设备机械系统图；</w:t>
            </w:r>
          </w:p>
          <w:p w14:paraId="42495B7A">
            <w:pPr>
              <w:adjustRightInd w:val="0"/>
              <w:snapToGrid w:val="0"/>
              <w:jc w:val="left"/>
              <w:rPr>
                <w:rFonts w:hint="eastAsia" w:ascii="方正书宋简体" w:hAnsi="楷体" w:eastAsia="方正书宋简体" w:cs="MS Gothic"/>
                <w:color w:val="000000"/>
                <w:szCs w:val="21"/>
              </w:rPr>
            </w:pPr>
            <w:r>
              <w:rPr>
                <w:rFonts w:hint="eastAsia" w:ascii="方正书宋简体" w:hAnsi="楷体" w:eastAsia="方正书宋简体" w:cs="MS Gothic"/>
                <w:color w:val="000000"/>
                <w:szCs w:val="21"/>
              </w:rPr>
              <w:t>01-01-02能正确使用常见机械测量仪器；</w:t>
            </w:r>
          </w:p>
          <w:p w14:paraId="23307EF0">
            <w:pPr>
              <w:adjustRightInd w:val="0"/>
              <w:snapToGrid w:val="0"/>
              <w:jc w:val="left"/>
              <w:rPr>
                <w:rFonts w:hint="eastAsia" w:ascii="方正书宋简体" w:hAnsi="楷体" w:eastAsia="方正书宋简体" w:cs="MS Gothic"/>
                <w:color w:val="000000"/>
                <w:szCs w:val="21"/>
              </w:rPr>
            </w:pPr>
            <w:r>
              <w:rPr>
                <w:rFonts w:hint="eastAsia" w:ascii="方正书宋简体" w:hAnsi="楷体" w:eastAsia="方正书宋简体" w:cs="MS Gothic"/>
                <w:color w:val="000000"/>
                <w:szCs w:val="21"/>
              </w:rPr>
              <w:t>01-01-03能对机械系统的综合调试。</w:t>
            </w:r>
          </w:p>
        </w:tc>
        <w:tc>
          <w:tcPr>
            <w:tcW w:w="3079" w:type="dxa"/>
            <w:vAlign w:val="center"/>
          </w:tcPr>
          <w:p w14:paraId="235D3C44">
            <w:pPr>
              <w:adjustRightInd w:val="0"/>
              <w:snapToGrid w:val="0"/>
              <w:jc w:val="left"/>
              <w:rPr>
                <w:rFonts w:hint="eastAsia" w:ascii="方正书宋简体" w:hAnsi="楷体" w:eastAsia="方正书宋简体" w:cs="MS Gothic"/>
                <w:color w:val="000000"/>
                <w:szCs w:val="21"/>
              </w:rPr>
            </w:pPr>
            <w:r>
              <w:rPr>
                <w:rFonts w:hint="eastAsia" w:ascii="方正书宋简体" w:hAnsi="楷体" w:eastAsia="方正书宋简体" w:cs="MS Gothic"/>
                <w:color w:val="000000"/>
                <w:szCs w:val="21"/>
              </w:rPr>
              <w:t>学习领域1:机电一体化系统功能分析</w:t>
            </w:r>
          </w:p>
          <w:p w14:paraId="3BF1C9C1">
            <w:pPr>
              <w:adjustRightInd w:val="0"/>
              <w:snapToGrid w:val="0"/>
              <w:jc w:val="left"/>
              <w:rPr>
                <w:rFonts w:hint="eastAsia" w:ascii="方正书宋简体" w:hAnsi="楷体" w:eastAsia="方正书宋简体" w:cs="MS Gothic"/>
                <w:color w:val="000000"/>
                <w:szCs w:val="21"/>
              </w:rPr>
            </w:pPr>
            <w:r>
              <w:rPr>
                <w:rFonts w:hint="eastAsia" w:ascii="方正书宋简体" w:hAnsi="楷体" w:eastAsia="方正书宋简体" w:cs="MS Gothic"/>
                <w:color w:val="000000"/>
                <w:szCs w:val="21"/>
              </w:rPr>
              <w:t>学习领域2:机械系统的制造和装配</w:t>
            </w:r>
          </w:p>
          <w:p w14:paraId="25780E89">
            <w:pPr>
              <w:adjustRightInd w:val="0"/>
              <w:snapToGrid w:val="0"/>
              <w:jc w:val="left"/>
              <w:rPr>
                <w:rFonts w:hint="eastAsia" w:ascii="方正书宋简体" w:hAnsi="楷体" w:eastAsia="方正书宋简体" w:cs="MS Gothic"/>
                <w:color w:val="000000"/>
                <w:szCs w:val="21"/>
              </w:rPr>
            </w:pPr>
            <w:r>
              <w:rPr>
                <w:rFonts w:hint="eastAsia" w:ascii="方正书宋简体" w:hAnsi="楷体" w:eastAsia="方正书宋简体" w:cs="MS Gothic"/>
                <w:color w:val="000000"/>
                <w:szCs w:val="21"/>
              </w:rPr>
              <w:t>学习领域3:基于技术安全规范的电气设备安装</w:t>
            </w:r>
          </w:p>
          <w:p w14:paraId="3CC0D4B6">
            <w:pPr>
              <w:adjustRightInd w:val="0"/>
              <w:snapToGrid w:val="0"/>
              <w:jc w:val="left"/>
              <w:rPr>
                <w:rFonts w:hint="eastAsia" w:ascii="方正书宋简体" w:hAnsi="楷体" w:eastAsia="方正书宋简体" w:cs="MS Gothic"/>
                <w:color w:val="000000"/>
                <w:szCs w:val="21"/>
              </w:rPr>
            </w:pPr>
            <w:r>
              <w:rPr>
                <w:rFonts w:hint="eastAsia" w:ascii="方正书宋简体" w:hAnsi="楷体" w:eastAsia="方正书宋简体" w:cs="MS Gothic"/>
                <w:color w:val="000000"/>
                <w:szCs w:val="21"/>
              </w:rPr>
              <w:t>学习领域4:气动系统的搭建、控制与检测</w:t>
            </w:r>
          </w:p>
          <w:p w14:paraId="144035B6">
            <w:pPr>
              <w:adjustRightInd w:val="0"/>
              <w:snapToGrid w:val="0"/>
              <w:jc w:val="left"/>
              <w:rPr>
                <w:rFonts w:hint="eastAsia" w:ascii="方正书宋简体" w:hAnsi="楷体" w:eastAsia="方正书宋简体" w:cs="MS Gothic"/>
                <w:color w:val="000000"/>
                <w:szCs w:val="21"/>
              </w:rPr>
            </w:pPr>
            <w:r>
              <w:rPr>
                <w:rFonts w:hint="eastAsia" w:ascii="方正书宋简体" w:hAnsi="楷体" w:eastAsia="方正书宋简体" w:cs="MS Gothic"/>
                <w:color w:val="000000"/>
                <w:szCs w:val="21"/>
              </w:rPr>
              <w:t>学习领域7:机电一体化子系统的搭建</w:t>
            </w:r>
          </w:p>
          <w:p w14:paraId="1F2D04C3">
            <w:pPr>
              <w:adjustRightInd w:val="0"/>
              <w:snapToGrid w:val="0"/>
              <w:jc w:val="left"/>
              <w:rPr>
                <w:rFonts w:hint="eastAsia" w:ascii="方正书宋简体" w:hAnsi="楷体" w:eastAsia="方正书宋简体" w:cs="MS Gothic"/>
                <w:color w:val="000000"/>
                <w:szCs w:val="21"/>
              </w:rPr>
            </w:pPr>
            <w:r>
              <w:rPr>
                <w:rFonts w:hint="eastAsia" w:ascii="方正书宋简体" w:hAnsi="楷体" w:eastAsia="方正书宋简体" w:cs="MS Gothic"/>
                <w:color w:val="000000"/>
                <w:szCs w:val="21"/>
              </w:rPr>
              <w:t>学习领域10:装配与拆卸的规划</w:t>
            </w:r>
          </w:p>
          <w:p w14:paraId="650CAEFF">
            <w:pPr>
              <w:adjustRightInd w:val="0"/>
              <w:snapToGrid w:val="0"/>
              <w:jc w:val="left"/>
              <w:rPr>
                <w:rFonts w:hint="eastAsia" w:ascii="方正书宋简体" w:hAnsi="楷体" w:eastAsia="方正书宋简体" w:cs="MS Gothic"/>
                <w:color w:val="000000"/>
                <w:szCs w:val="21"/>
              </w:rPr>
            </w:pPr>
            <w:r>
              <w:rPr>
                <w:rFonts w:hint="eastAsia" w:ascii="方正书宋简体" w:hAnsi="楷体" w:eastAsia="方正书宋简体" w:cs="MS Gothic"/>
                <w:color w:val="000000"/>
                <w:szCs w:val="21"/>
              </w:rPr>
              <w:t>学习领域11:机电一体化系统的故障排除</w:t>
            </w:r>
          </w:p>
        </w:tc>
      </w:tr>
      <w:tr w14:paraId="44F4A7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8" w:hRule="atLeast"/>
        </w:trPr>
        <w:tc>
          <w:tcPr>
            <w:tcW w:w="1227" w:type="dxa"/>
            <w:vMerge w:val="continue"/>
            <w:tcBorders>
              <w:top w:val="nil"/>
              <w:bottom w:val="single" w:color="auto" w:sz="4" w:space="0"/>
            </w:tcBorders>
            <w:vAlign w:val="center"/>
          </w:tcPr>
          <w:p w14:paraId="3038A233">
            <w:pPr>
              <w:adjustRightInd w:val="0"/>
              <w:snapToGrid w:val="0"/>
              <w:jc w:val="left"/>
              <w:rPr>
                <w:rFonts w:hint="eastAsia" w:ascii="方正书宋简体" w:hAnsi="楷体" w:eastAsia="方正书宋简体" w:cs="MS Gothic"/>
                <w:color w:val="000000"/>
                <w:szCs w:val="21"/>
              </w:rPr>
            </w:pPr>
          </w:p>
        </w:tc>
        <w:tc>
          <w:tcPr>
            <w:tcW w:w="1611" w:type="dxa"/>
            <w:tcBorders>
              <w:bottom w:val="single" w:color="auto" w:sz="4" w:space="0"/>
            </w:tcBorders>
            <w:vAlign w:val="center"/>
          </w:tcPr>
          <w:p w14:paraId="7CC9F467">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01-02机电设备电气系统安装与调试</w:t>
            </w:r>
          </w:p>
        </w:tc>
        <w:tc>
          <w:tcPr>
            <w:tcW w:w="3227" w:type="dxa"/>
            <w:tcBorders>
              <w:bottom w:val="single" w:color="auto" w:sz="4" w:space="0"/>
            </w:tcBorders>
            <w:vAlign w:val="center"/>
          </w:tcPr>
          <w:p w14:paraId="22D63A0C">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01-02-01具有分析机电设备电气系统图的能力；</w:t>
            </w:r>
          </w:p>
          <w:p w14:paraId="56F3074C">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01-02-02能正确使用常见电工测量仪器；</w:t>
            </w:r>
          </w:p>
          <w:p w14:paraId="026A3EDB">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01-02-03能进行PLC可编程控制器的安装、编程与调试；</w:t>
            </w:r>
          </w:p>
          <w:p w14:paraId="45B562F6">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01-02-04能对智能生产线进行组装与调试；</w:t>
            </w:r>
          </w:p>
          <w:p w14:paraId="4DBFBC11">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01-02-05能对工业机器人进行编程、调试与应用；</w:t>
            </w:r>
          </w:p>
          <w:p w14:paraId="06508900">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01-02-06具有沟通能力、团队协作能力、自我学习能力、信息检索与分析能力、创新能力。</w:t>
            </w:r>
          </w:p>
        </w:tc>
        <w:tc>
          <w:tcPr>
            <w:tcW w:w="3079" w:type="dxa"/>
            <w:tcBorders>
              <w:bottom w:val="single" w:color="auto" w:sz="4" w:space="0"/>
            </w:tcBorders>
            <w:vAlign w:val="center"/>
          </w:tcPr>
          <w:p w14:paraId="586A519E">
            <w:pPr>
              <w:adjustRightInd w:val="0"/>
              <w:snapToGrid w:val="0"/>
              <w:jc w:val="left"/>
              <w:rPr>
                <w:rFonts w:hint="eastAsia" w:ascii="方正书宋简体" w:hAnsi="楷体" w:eastAsia="方正书宋简体" w:cs="MS Gothic"/>
                <w:color w:val="000000"/>
                <w:szCs w:val="21"/>
              </w:rPr>
            </w:pPr>
            <w:r>
              <w:rPr>
                <w:rFonts w:hint="eastAsia" w:ascii="方正书宋简体" w:hAnsi="楷体" w:eastAsia="方正书宋简体" w:cs="MS Gothic"/>
                <w:color w:val="000000"/>
                <w:szCs w:val="21"/>
              </w:rPr>
              <w:t>学习领域1:机电一体化系统功能分析</w:t>
            </w:r>
          </w:p>
          <w:p w14:paraId="71FE3D7D">
            <w:pPr>
              <w:adjustRightInd w:val="0"/>
              <w:snapToGrid w:val="0"/>
              <w:jc w:val="left"/>
              <w:rPr>
                <w:rFonts w:hint="eastAsia" w:ascii="方正书宋简体" w:hAnsi="楷体" w:eastAsia="方正书宋简体" w:cs="MS Gothic"/>
                <w:color w:val="000000"/>
                <w:szCs w:val="21"/>
              </w:rPr>
            </w:pPr>
            <w:r>
              <w:rPr>
                <w:rFonts w:hint="eastAsia" w:ascii="方正书宋简体" w:hAnsi="楷体" w:eastAsia="方正书宋简体" w:cs="MS Gothic"/>
                <w:color w:val="000000"/>
                <w:szCs w:val="21"/>
              </w:rPr>
              <w:t>学习领域2:机械系统的制造和装配</w:t>
            </w:r>
          </w:p>
          <w:p w14:paraId="603822E7">
            <w:pPr>
              <w:adjustRightInd w:val="0"/>
              <w:snapToGrid w:val="0"/>
              <w:jc w:val="left"/>
              <w:rPr>
                <w:rFonts w:hint="eastAsia" w:ascii="方正书宋简体" w:hAnsi="楷体" w:eastAsia="方正书宋简体" w:cs="MS Gothic"/>
                <w:color w:val="000000"/>
                <w:szCs w:val="21"/>
              </w:rPr>
            </w:pPr>
            <w:r>
              <w:rPr>
                <w:rFonts w:hint="eastAsia" w:ascii="方正书宋简体" w:hAnsi="楷体" w:eastAsia="方正书宋简体" w:cs="MS Gothic"/>
                <w:color w:val="000000"/>
                <w:szCs w:val="21"/>
              </w:rPr>
              <w:t>学习领域3:基于技术安全规范的电气设备安装</w:t>
            </w:r>
          </w:p>
          <w:p w14:paraId="7C76E6A6">
            <w:pPr>
              <w:adjustRightInd w:val="0"/>
              <w:snapToGrid w:val="0"/>
              <w:jc w:val="left"/>
              <w:rPr>
                <w:rFonts w:hint="eastAsia" w:ascii="方正书宋简体" w:hAnsi="楷体" w:eastAsia="方正书宋简体" w:cs="MS Gothic"/>
                <w:color w:val="000000"/>
                <w:szCs w:val="21"/>
              </w:rPr>
            </w:pPr>
            <w:r>
              <w:rPr>
                <w:rFonts w:hint="eastAsia" w:ascii="方正书宋简体" w:hAnsi="楷体" w:eastAsia="方正书宋简体" w:cs="MS Gothic"/>
                <w:color w:val="000000"/>
                <w:szCs w:val="21"/>
              </w:rPr>
              <w:t>学习领域4:气动系统的搭建、控制与检测</w:t>
            </w:r>
          </w:p>
          <w:p w14:paraId="5E643E70">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rPr>
              <w:t>学习领域7:机电一体化子系统的搭建</w:t>
            </w:r>
          </w:p>
        </w:tc>
      </w:tr>
      <w:tr w14:paraId="66E57E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6" w:hRule="atLeast"/>
        </w:trPr>
        <w:tc>
          <w:tcPr>
            <w:tcW w:w="1227" w:type="dxa"/>
            <w:vMerge w:val="restart"/>
            <w:tcBorders>
              <w:top w:val="single" w:color="auto" w:sz="4" w:space="0"/>
              <w:left w:val="single" w:color="auto" w:sz="4" w:space="0"/>
              <w:bottom w:val="single" w:color="auto" w:sz="4" w:space="0"/>
              <w:right w:val="single" w:color="auto" w:sz="4" w:space="0"/>
            </w:tcBorders>
            <w:vAlign w:val="center"/>
          </w:tcPr>
          <w:p w14:paraId="6B10A839">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02机电设备维修</w:t>
            </w:r>
          </w:p>
        </w:tc>
        <w:tc>
          <w:tcPr>
            <w:tcW w:w="1611" w:type="dxa"/>
            <w:tcBorders>
              <w:top w:val="single" w:color="auto" w:sz="4" w:space="0"/>
              <w:left w:val="single" w:color="auto" w:sz="4" w:space="0"/>
              <w:bottom w:val="single" w:color="auto" w:sz="4" w:space="0"/>
              <w:right w:val="single" w:color="auto" w:sz="4" w:space="0"/>
            </w:tcBorders>
            <w:vAlign w:val="center"/>
          </w:tcPr>
          <w:p w14:paraId="23258810">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02-01机电设备机械系统的故障检测与维修</w:t>
            </w:r>
          </w:p>
        </w:tc>
        <w:tc>
          <w:tcPr>
            <w:tcW w:w="3227" w:type="dxa"/>
            <w:tcBorders>
              <w:top w:val="single" w:color="auto" w:sz="4" w:space="0"/>
              <w:left w:val="single" w:color="auto" w:sz="4" w:space="0"/>
              <w:bottom w:val="single" w:color="auto" w:sz="4" w:space="0"/>
              <w:right w:val="single" w:color="auto" w:sz="4" w:space="0"/>
            </w:tcBorders>
            <w:vAlign w:val="center"/>
          </w:tcPr>
          <w:p w14:paraId="0C64BEE7">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02-01-01能识读机械图；</w:t>
            </w:r>
          </w:p>
          <w:p w14:paraId="1C64B5D6">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02-01-02能对常见机械设备故障进行判断、分析和排除；</w:t>
            </w:r>
          </w:p>
          <w:p w14:paraId="6FC62707">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02-01-03能对液压、气动系统故障进行判断、分析和排除；</w:t>
            </w:r>
          </w:p>
          <w:p w14:paraId="71A51FD7">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02-01-04熟练掌握安全知识。</w:t>
            </w:r>
          </w:p>
        </w:tc>
        <w:tc>
          <w:tcPr>
            <w:tcW w:w="3079" w:type="dxa"/>
            <w:tcBorders>
              <w:top w:val="single" w:color="auto" w:sz="4" w:space="0"/>
              <w:left w:val="single" w:color="auto" w:sz="4" w:space="0"/>
              <w:bottom w:val="single" w:color="auto" w:sz="4" w:space="0"/>
              <w:right w:val="single" w:color="auto" w:sz="4" w:space="0"/>
            </w:tcBorders>
            <w:vAlign w:val="center"/>
          </w:tcPr>
          <w:p w14:paraId="6BDD644A">
            <w:pPr>
              <w:adjustRightInd w:val="0"/>
              <w:snapToGrid w:val="0"/>
              <w:jc w:val="left"/>
              <w:rPr>
                <w:rFonts w:hint="eastAsia" w:ascii="方正书宋简体" w:hAnsi="楷体" w:eastAsia="方正书宋简体" w:cs="MS Gothic"/>
                <w:color w:val="000000"/>
                <w:szCs w:val="21"/>
              </w:rPr>
            </w:pPr>
            <w:r>
              <w:rPr>
                <w:rFonts w:hint="eastAsia" w:ascii="方正书宋简体" w:hAnsi="楷体" w:eastAsia="方正书宋简体" w:cs="MS Gothic"/>
                <w:color w:val="000000"/>
                <w:szCs w:val="21"/>
              </w:rPr>
              <w:t>学习领域4:气动系统的搭建、控制与检测</w:t>
            </w:r>
          </w:p>
          <w:p w14:paraId="0CBEF211">
            <w:pPr>
              <w:adjustRightInd w:val="0"/>
              <w:snapToGrid w:val="0"/>
              <w:jc w:val="left"/>
              <w:rPr>
                <w:rFonts w:hint="eastAsia" w:ascii="方正书宋简体" w:hAnsi="楷体" w:eastAsia="方正书宋简体" w:cs="MS Gothic"/>
                <w:color w:val="000000"/>
                <w:szCs w:val="21"/>
              </w:rPr>
            </w:pPr>
            <w:r>
              <w:rPr>
                <w:rFonts w:hint="eastAsia" w:ascii="方正书宋简体" w:hAnsi="楷体" w:eastAsia="方正书宋简体" w:cs="MS Gothic"/>
                <w:color w:val="000000"/>
                <w:szCs w:val="21"/>
              </w:rPr>
              <w:t>学习领域8:机电一体化系统的项目设计与优化</w:t>
            </w:r>
          </w:p>
          <w:p w14:paraId="323425D5">
            <w:pPr>
              <w:adjustRightInd w:val="0"/>
              <w:snapToGrid w:val="0"/>
              <w:jc w:val="left"/>
              <w:rPr>
                <w:rFonts w:hint="eastAsia" w:ascii="方正书宋简体" w:hAnsi="楷体" w:eastAsia="方正书宋简体" w:cs="MS Gothic"/>
                <w:color w:val="000000"/>
                <w:szCs w:val="21"/>
              </w:rPr>
            </w:pPr>
            <w:r>
              <w:rPr>
                <w:rFonts w:hint="eastAsia" w:ascii="方正书宋简体" w:hAnsi="楷体" w:eastAsia="方正书宋简体" w:cs="MS Gothic"/>
                <w:color w:val="000000"/>
                <w:szCs w:val="21"/>
              </w:rPr>
              <w:t>学习领域10:装配与拆卸的规划</w:t>
            </w:r>
          </w:p>
          <w:p w14:paraId="768EEAF5">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rPr>
              <w:t>学习领域11:机电一体化系统的故障排除</w:t>
            </w:r>
          </w:p>
        </w:tc>
      </w:tr>
      <w:tr w14:paraId="12CAA3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08" w:hRule="atLeast"/>
        </w:trPr>
        <w:tc>
          <w:tcPr>
            <w:tcW w:w="1227" w:type="dxa"/>
            <w:vMerge w:val="continue"/>
            <w:tcBorders>
              <w:top w:val="single" w:color="auto" w:sz="4" w:space="0"/>
              <w:left w:val="single" w:color="auto" w:sz="4" w:space="0"/>
              <w:bottom w:val="single" w:color="auto" w:sz="4" w:space="0"/>
              <w:right w:val="single" w:color="auto" w:sz="4" w:space="0"/>
            </w:tcBorders>
            <w:vAlign w:val="center"/>
          </w:tcPr>
          <w:p w14:paraId="701FD623">
            <w:pPr>
              <w:adjustRightInd w:val="0"/>
              <w:snapToGrid w:val="0"/>
              <w:jc w:val="left"/>
              <w:rPr>
                <w:rFonts w:hint="eastAsia" w:ascii="方正书宋简体" w:hAnsi="楷体" w:eastAsia="方正书宋简体" w:cs="MS Gothic"/>
                <w:color w:val="000000"/>
                <w:szCs w:val="21"/>
                <w:lang w:val="en-US" w:eastAsia="en-US"/>
              </w:rPr>
            </w:pPr>
          </w:p>
        </w:tc>
        <w:tc>
          <w:tcPr>
            <w:tcW w:w="1611" w:type="dxa"/>
            <w:tcBorders>
              <w:top w:val="single" w:color="auto" w:sz="4" w:space="0"/>
              <w:left w:val="single" w:color="auto" w:sz="4" w:space="0"/>
              <w:bottom w:val="single" w:color="auto" w:sz="4" w:space="0"/>
              <w:right w:val="single" w:color="auto" w:sz="4" w:space="0"/>
            </w:tcBorders>
            <w:vAlign w:val="center"/>
          </w:tcPr>
          <w:p w14:paraId="5E5D7AB4">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02-02机电设备电气系统的故障检测与维修</w:t>
            </w:r>
          </w:p>
        </w:tc>
        <w:tc>
          <w:tcPr>
            <w:tcW w:w="3227" w:type="dxa"/>
            <w:tcBorders>
              <w:top w:val="single" w:color="auto" w:sz="4" w:space="0"/>
              <w:left w:val="single" w:color="auto" w:sz="4" w:space="0"/>
              <w:bottom w:val="single" w:color="auto" w:sz="4" w:space="0"/>
              <w:right w:val="single" w:color="auto" w:sz="4" w:space="0"/>
            </w:tcBorders>
            <w:vAlign w:val="center"/>
          </w:tcPr>
          <w:p w14:paraId="17C08B7D">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02-02-01能识读电气图；</w:t>
            </w:r>
          </w:p>
          <w:p w14:paraId="45C3807D">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02-02-02能检测电子、电气设备；</w:t>
            </w:r>
          </w:p>
          <w:p w14:paraId="3617E791">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02-02-03能对常见电气原件进行选型并安装；</w:t>
            </w:r>
          </w:p>
          <w:p w14:paraId="650BFDB2">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02-02-04能对机电设备机械进行维护与保养。</w:t>
            </w:r>
          </w:p>
        </w:tc>
        <w:tc>
          <w:tcPr>
            <w:tcW w:w="3079" w:type="dxa"/>
            <w:tcBorders>
              <w:top w:val="single" w:color="auto" w:sz="4" w:space="0"/>
              <w:left w:val="single" w:color="auto" w:sz="4" w:space="0"/>
              <w:bottom w:val="single" w:color="auto" w:sz="4" w:space="0"/>
              <w:right w:val="single" w:color="auto" w:sz="4" w:space="0"/>
            </w:tcBorders>
            <w:vAlign w:val="center"/>
          </w:tcPr>
          <w:p w14:paraId="53083738">
            <w:pPr>
              <w:adjustRightInd w:val="0"/>
              <w:snapToGrid w:val="0"/>
              <w:jc w:val="left"/>
              <w:rPr>
                <w:rFonts w:hint="eastAsia" w:ascii="方正书宋简体" w:hAnsi="楷体" w:eastAsia="方正书宋简体" w:cs="MS Gothic"/>
                <w:color w:val="000000"/>
                <w:szCs w:val="21"/>
              </w:rPr>
            </w:pPr>
            <w:r>
              <w:rPr>
                <w:rFonts w:hint="eastAsia" w:ascii="方正书宋简体" w:hAnsi="楷体" w:eastAsia="方正书宋简体" w:cs="MS Gothic"/>
                <w:color w:val="000000"/>
                <w:szCs w:val="21"/>
              </w:rPr>
              <w:t>学习领域5:数据处理系统的应用</w:t>
            </w:r>
          </w:p>
          <w:p w14:paraId="03D88706">
            <w:pPr>
              <w:adjustRightInd w:val="0"/>
              <w:snapToGrid w:val="0"/>
              <w:jc w:val="left"/>
              <w:rPr>
                <w:rFonts w:hint="eastAsia" w:ascii="方正书宋简体" w:hAnsi="楷体" w:eastAsia="方正书宋简体" w:cs="MS Gothic"/>
                <w:color w:val="000000"/>
                <w:szCs w:val="21"/>
              </w:rPr>
            </w:pPr>
            <w:r>
              <w:rPr>
                <w:rFonts w:hint="eastAsia" w:ascii="方正书宋简体" w:hAnsi="楷体" w:eastAsia="方正书宋简体" w:cs="MS Gothic"/>
                <w:color w:val="000000"/>
                <w:szCs w:val="21"/>
              </w:rPr>
              <w:t>学习领域8:机电一体化系统的项目设计与优化</w:t>
            </w:r>
          </w:p>
          <w:p w14:paraId="1E806C0D">
            <w:pPr>
              <w:adjustRightInd w:val="0"/>
              <w:snapToGrid w:val="0"/>
              <w:jc w:val="left"/>
              <w:rPr>
                <w:rFonts w:hint="eastAsia" w:ascii="方正书宋简体" w:hAnsi="楷体" w:eastAsia="方正书宋简体" w:cs="MS Gothic"/>
                <w:color w:val="000000"/>
                <w:szCs w:val="21"/>
              </w:rPr>
            </w:pPr>
            <w:r>
              <w:rPr>
                <w:rFonts w:hint="eastAsia" w:ascii="方正书宋简体" w:hAnsi="楷体" w:eastAsia="方正书宋简体" w:cs="MS Gothic"/>
                <w:color w:val="000000"/>
                <w:szCs w:val="21"/>
              </w:rPr>
              <w:t>学习领域9:复杂机电一体化系统搭建与检查</w:t>
            </w:r>
          </w:p>
          <w:p w14:paraId="432E1755">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rPr>
              <w:t>学习领域11:机电一体化系统的故障排除</w:t>
            </w:r>
          </w:p>
        </w:tc>
      </w:tr>
      <w:tr w14:paraId="3A3002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1227" w:type="dxa"/>
            <w:vMerge w:val="restart"/>
            <w:tcBorders>
              <w:top w:val="single" w:color="auto" w:sz="4" w:space="0"/>
              <w:left w:val="single" w:color="auto" w:sz="4" w:space="0"/>
              <w:right w:val="single" w:color="auto" w:sz="4" w:space="0"/>
            </w:tcBorders>
            <w:vAlign w:val="center"/>
          </w:tcPr>
          <w:p w14:paraId="6334767E">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03机电设备技改</w:t>
            </w:r>
          </w:p>
        </w:tc>
        <w:tc>
          <w:tcPr>
            <w:tcW w:w="1611" w:type="dxa"/>
            <w:tcBorders>
              <w:top w:val="single" w:color="auto" w:sz="4" w:space="0"/>
              <w:left w:val="single" w:color="auto" w:sz="4" w:space="0"/>
              <w:bottom w:val="single" w:color="auto" w:sz="4" w:space="0"/>
              <w:right w:val="single" w:color="auto" w:sz="4" w:space="0"/>
            </w:tcBorders>
            <w:vAlign w:val="center"/>
          </w:tcPr>
          <w:p w14:paraId="26114DDE">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03-01机电设备机械系统设计</w:t>
            </w:r>
          </w:p>
        </w:tc>
        <w:tc>
          <w:tcPr>
            <w:tcW w:w="3227" w:type="dxa"/>
            <w:tcBorders>
              <w:top w:val="single" w:color="auto" w:sz="4" w:space="0"/>
              <w:left w:val="single" w:color="auto" w:sz="4" w:space="0"/>
              <w:bottom w:val="single" w:color="auto" w:sz="4" w:space="0"/>
              <w:right w:val="single" w:color="auto" w:sz="4" w:space="0"/>
            </w:tcBorders>
            <w:vAlign w:val="center"/>
          </w:tcPr>
          <w:p w14:paraId="1334F4EA">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03-01-01能设计简单机械零部件；</w:t>
            </w:r>
          </w:p>
          <w:p w14:paraId="5D90E4DD">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03-01-02能编制简单机械零件加工工艺;</w:t>
            </w:r>
          </w:p>
          <w:p w14:paraId="14CE4C36">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03-01-03能熟练使用计算机辅助设计软件;</w:t>
            </w:r>
          </w:p>
          <w:p w14:paraId="6695B4AB">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03-01-04能绘制出符合标准的工程图；</w:t>
            </w:r>
          </w:p>
          <w:p w14:paraId="4B7CA151">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03-01-05能熟练使用各种工具、手册和设计资料；</w:t>
            </w:r>
          </w:p>
          <w:p w14:paraId="530A6566">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03-01-06能现场协调人员、解决具体问题。</w:t>
            </w:r>
          </w:p>
        </w:tc>
        <w:tc>
          <w:tcPr>
            <w:tcW w:w="3079" w:type="dxa"/>
            <w:tcBorders>
              <w:top w:val="single" w:color="auto" w:sz="4" w:space="0"/>
              <w:left w:val="single" w:color="auto" w:sz="4" w:space="0"/>
              <w:bottom w:val="single" w:color="auto" w:sz="4" w:space="0"/>
              <w:right w:val="single" w:color="auto" w:sz="4" w:space="0"/>
            </w:tcBorders>
            <w:vAlign w:val="center"/>
          </w:tcPr>
          <w:p w14:paraId="70FCB07C">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学习领域1:机电一体化系统功能分析</w:t>
            </w:r>
          </w:p>
          <w:p w14:paraId="0B3119AD">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学习领域2:机械系统的制造和装配</w:t>
            </w:r>
          </w:p>
          <w:p w14:paraId="4438B3CA">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学习领域4:气动系统的搭建、控制与检测</w:t>
            </w:r>
          </w:p>
          <w:p w14:paraId="3777E824">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学习领域10:装配与拆卸的规划</w:t>
            </w:r>
          </w:p>
          <w:p w14:paraId="5CAB4D03">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学习领域11:机电一体化系统的故障排除</w:t>
            </w:r>
          </w:p>
        </w:tc>
      </w:tr>
      <w:tr w14:paraId="6DDC3B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34" w:hRule="atLeast"/>
        </w:trPr>
        <w:tc>
          <w:tcPr>
            <w:tcW w:w="1227" w:type="dxa"/>
            <w:vMerge w:val="continue"/>
            <w:tcBorders>
              <w:left w:val="single" w:color="auto" w:sz="4" w:space="0"/>
              <w:bottom w:val="single" w:color="auto" w:sz="4" w:space="0"/>
              <w:right w:val="single" w:color="auto" w:sz="4" w:space="0"/>
            </w:tcBorders>
            <w:vAlign w:val="center"/>
          </w:tcPr>
          <w:p w14:paraId="28002FDF">
            <w:pPr>
              <w:adjustRightInd w:val="0"/>
              <w:snapToGrid w:val="0"/>
              <w:jc w:val="left"/>
              <w:rPr>
                <w:rFonts w:hint="eastAsia" w:ascii="方正书宋简体" w:hAnsi="楷体" w:eastAsia="方正书宋简体" w:cs="MS Gothic"/>
                <w:color w:val="000000"/>
                <w:szCs w:val="21"/>
                <w:lang w:val="en-US" w:eastAsia="en-US"/>
              </w:rPr>
            </w:pPr>
          </w:p>
        </w:tc>
        <w:tc>
          <w:tcPr>
            <w:tcW w:w="1611" w:type="dxa"/>
            <w:tcBorders>
              <w:top w:val="single" w:color="auto" w:sz="4" w:space="0"/>
              <w:left w:val="single" w:color="auto" w:sz="4" w:space="0"/>
              <w:bottom w:val="single" w:color="auto" w:sz="4" w:space="0"/>
              <w:right w:val="single" w:color="auto" w:sz="4" w:space="0"/>
            </w:tcBorders>
            <w:vAlign w:val="center"/>
          </w:tcPr>
          <w:p w14:paraId="12A6E18C">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03-02机电设备电气系统设计</w:t>
            </w:r>
          </w:p>
        </w:tc>
        <w:tc>
          <w:tcPr>
            <w:tcW w:w="3227" w:type="dxa"/>
            <w:tcBorders>
              <w:top w:val="single" w:color="auto" w:sz="4" w:space="0"/>
              <w:left w:val="single" w:color="auto" w:sz="4" w:space="0"/>
              <w:bottom w:val="single" w:color="auto" w:sz="4" w:space="0"/>
              <w:right w:val="single" w:color="auto" w:sz="4" w:space="0"/>
            </w:tcBorders>
            <w:vAlign w:val="center"/>
          </w:tcPr>
          <w:p w14:paraId="09636A67">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03-02-01能熟练掌握电气工程制图方法及制图标准，并能使用相应软件；</w:t>
            </w:r>
          </w:p>
          <w:p w14:paraId="3B7F3DCD">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03-02-02能掌握电气元器件的结构、原理与功能并能进行合理选型；</w:t>
            </w:r>
          </w:p>
          <w:p w14:paraId="38CE087F">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03-02-03能掌握电气行业及其特定行业的标准要求,保证其电气设计符合行业相应技术规范；</w:t>
            </w:r>
          </w:p>
          <w:p w14:paraId="18D0EDB5">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03-02-04能用PLC对简单的继电器接触器控制旧系统改造；</w:t>
            </w:r>
          </w:p>
          <w:p w14:paraId="5AD6DCAE">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03-02-05能掌握电气安全知识。</w:t>
            </w:r>
          </w:p>
        </w:tc>
        <w:tc>
          <w:tcPr>
            <w:tcW w:w="3079" w:type="dxa"/>
            <w:tcBorders>
              <w:top w:val="single" w:color="auto" w:sz="4" w:space="0"/>
              <w:left w:val="single" w:color="auto" w:sz="4" w:space="0"/>
              <w:bottom w:val="single" w:color="auto" w:sz="4" w:space="0"/>
              <w:right w:val="single" w:color="auto" w:sz="4" w:space="0"/>
            </w:tcBorders>
            <w:vAlign w:val="center"/>
          </w:tcPr>
          <w:p w14:paraId="385144DF">
            <w:pPr>
              <w:adjustRightInd w:val="0"/>
              <w:snapToGrid w:val="0"/>
              <w:jc w:val="left"/>
              <w:rPr>
                <w:rFonts w:hint="eastAsia" w:ascii="方正书宋简体" w:hAnsi="楷体" w:eastAsia="方正书宋简体" w:cs="MS Gothic"/>
                <w:color w:val="000000"/>
                <w:szCs w:val="21"/>
              </w:rPr>
            </w:pPr>
            <w:r>
              <w:rPr>
                <w:rFonts w:hint="eastAsia" w:ascii="方正书宋简体" w:hAnsi="楷体" w:eastAsia="方正书宋简体" w:cs="MS Gothic"/>
                <w:color w:val="000000"/>
                <w:szCs w:val="21"/>
              </w:rPr>
              <w:t>学习领域3:基于技术安全规范的电气设备安装</w:t>
            </w:r>
          </w:p>
          <w:p w14:paraId="1329EBE7">
            <w:pPr>
              <w:adjustRightInd w:val="0"/>
              <w:snapToGrid w:val="0"/>
              <w:jc w:val="left"/>
              <w:rPr>
                <w:rFonts w:hint="eastAsia" w:ascii="方正书宋简体" w:hAnsi="楷体" w:eastAsia="方正书宋简体" w:cs="MS Gothic"/>
                <w:color w:val="000000"/>
                <w:szCs w:val="21"/>
              </w:rPr>
            </w:pPr>
            <w:r>
              <w:rPr>
                <w:rFonts w:hint="eastAsia" w:ascii="方正书宋简体" w:hAnsi="楷体" w:eastAsia="方正书宋简体" w:cs="MS Gothic"/>
                <w:color w:val="000000"/>
                <w:szCs w:val="21"/>
              </w:rPr>
              <w:t>学习领域5:数据处理系统的应用</w:t>
            </w:r>
          </w:p>
          <w:p w14:paraId="2D8F20C9">
            <w:pPr>
              <w:adjustRightInd w:val="0"/>
              <w:snapToGrid w:val="0"/>
              <w:jc w:val="left"/>
              <w:rPr>
                <w:rFonts w:hint="eastAsia" w:ascii="方正书宋简体" w:hAnsi="楷体" w:eastAsia="方正书宋简体" w:cs="MS Gothic"/>
                <w:color w:val="000000"/>
                <w:szCs w:val="21"/>
              </w:rPr>
            </w:pPr>
            <w:r>
              <w:rPr>
                <w:rFonts w:hint="eastAsia" w:ascii="方正书宋简体" w:hAnsi="楷体" w:eastAsia="方正书宋简体" w:cs="MS Gothic"/>
                <w:color w:val="000000"/>
                <w:szCs w:val="21"/>
              </w:rPr>
              <w:t>学习领域6:工作过程的计划和组织</w:t>
            </w:r>
          </w:p>
          <w:p w14:paraId="62810074">
            <w:pPr>
              <w:adjustRightInd w:val="0"/>
              <w:snapToGrid w:val="0"/>
              <w:jc w:val="left"/>
              <w:rPr>
                <w:rFonts w:hint="eastAsia" w:ascii="方正书宋简体" w:hAnsi="楷体" w:eastAsia="方正书宋简体" w:cs="MS Gothic"/>
                <w:color w:val="000000"/>
                <w:szCs w:val="21"/>
              </w:rPr>
            </w:pPr>
            <w:r>
              <w:rPr>
                <w:rFonts w:hint="eastAsia" w:ascii="方正书宋简体" w:hAnsi="楷体" w:eastAsia="方正书宋简体" w:cs="MS Gothic"/>
                <w:color w:val="000000"/>
                <w:szCs w:val="21"/>
              </w:rPr>
              <w:t>学习领域7:机电一体化子系统的搭建</w:t>
            </w:r>
          </w:p>
          <w:p w14:paraId="790BC189">
            <w:pPr>
              <w:adjustRightInd w:val="0"/>
              <w:snapToGrid w:val="0"/>
              <w:jc w:val="left"/>
              <w:rPr>
                <w:rFonts w:hint="eastAsia" w:ascii="方正书宋简体" w:hAnsi="楷体" w:eastAsia="方正书宋简体" w:cs="MS Gothic"/>
                <w:color w:val="000000"/>
                <w:szCs w:val="21"/>
              </w:rPr>
            </w:pPr>
            <w:r>
              <w:rPr>
                <w:rFonts w:hint="eastAsia" w:ascii="方正书宋简体" w:hAnsi="楷体" w:eastAsia="方正书宋简体" w:cs="MS Gothic"/>
                <w:color w:val="000000"/>
                <w:szCs w:val="21"/>
              </w:rPr>
              <w:t>学习领域8:机电一体化系统的项目设计与优化</w:t>
            </w:r>
          </w:p>
          <w:p w14:paraId="38C4147D">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rPr>
              <w:t>学习领域11:机电一体化系统的故障排除</w:t>
            </w:r>
          </w:p>
        </w:tc>
      </w:tr>
      <w:tr w14:paraId="1C22BC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14" w:hRule="atLeast"/>
        </w:trPr>
        <w:tc>
          <w:tcPr>
            <w:tcW w:w="1227" w:type="dxa"/>
            <w:tcBorders>
              <w:top w:val="single" w:color="auto" w:sz="4" w:space="0"/>
              <w:left w:val="single" w:color="auto" w:sz="4" w:space="0"/>
              <w:right w:val="single" w:color="auto" w:sz="4" w:space="0"/>
            </w:tcBorders>
            <w:shd w:val="clear" w:color="auto" w:fill="auto"/>
            <w:vAlign w:val="center"/>
          </w:tcPr>
          <w:p w14:paraId="62E0B032">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04智能生产线运维</w:t>
            </w:r>
          </w:p>
        </w:tc>
        <w:tc>
          <w:tcPr>
            <w:tcW w:w="1611" w:type="dxa"/>
            <w:tcBorders>
              <w:top w:val="single" w:color="auto" w:sz="4" w:space="0"/>
              <w:left w:val="single" w:color="auto" w:sz="4" w:space="0"/>
              <w:right w:val="single" w:color="auto" w:sz="4" w:space="0"/>
            </w:tcBorders>
            <w:shd w:val="clear" w:color="auto" w:fill="auto"/>
            <w:vAlign w:val="center"/>
          </w:tcPr>
          <w:p w14:paraId="3F6866A0">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04-01智能生产系统远程运维</w:t>
            </w:r>
          </w:p>
        </w:tc>
        <w:tc>
          <w:tcPr>
            <w:tcW w:w="3227" w:type="dxa"/>
            <w:tcBorders>
              <w:top w:val="single" w:color="auto" w:sz="4" w:space="0"/>
              <w:left w:val="single" w:color="auto" w:sz="4" w:space="0"/>
              <w:right w:val="single" w:color="auto" w:sz="4" w:space="0"/>
            </w:tcBorders>
            <w:shd w:val="clear" w:color="auto" w:fill="auto"/>
            <w:vAlign w:val="center"/>
          </w:tcPr>
          <w:p w14:paraId="7D75523D">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04-01-01了解工业互联网和工业互联网边缘网关；</w:t>
            </w:r>
          </w:p>
          <w:p w14:paraId="55D3D547">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04-01-02能配置网关的上网方式及通信端口参数，并能根据PLC设备的点表信息配置采点信息；</w:t>
            </w:r>
          </w:p>
          <w:p w14:paraId="6245B2EF">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04-01-03能在工业互联网云平台进行组态，实现云端远程监控。</w:t>
            </w:r>
          </w:p>
        </w:tc>
        <w:tc>
          <w:tcPr>
            <w:tcW w:w="3079" w:type="dxa"/>
            <w:tcBorders>
              <w:top w:val="single" w:color="auto" w:sz="4" w:space="0"/>
              <w:left w:val="single" w:color="auto" w:sz="4" w:space="0"/>
              <w:bottom w:val="single" w:color="auto" w:sz="4" w:space="0"/>
              <w:right w:val="single" w:color="auto" w:sz="4" w:space="0"/>
            </w:tcBorders>
            <w:shd w:val="clear" w:color="auto" w:fill="auto"/>
            <w:vAlign w:val="center"/>
          </w:tcPr>
          <w:p w14:paraId="60565373">
            <w:pPr>
              <w:adjustRightInd w:val="0"/>
              <w:snapToGrid w:val="0"/>
              <w:jc w:val="left"/>
              <w:rPr>
                <w:rFonts w:hint="eastAsia" w:ascii="方正书宋简体" w:hAnsi="楷体" w:eastAsia="方正书宋简体" w:cs="MS Gothic"/>
                <w:color w:val="000000"/>
                <w:szCs w:val="21"/>
              </w:rPr>
            </w:pPr>
            <w:r>
              <w:rPr>
                <w:rFonts w:hint="eastAsia" w:ascii="方正书宋简体" w:hAnsi="楷体" w:eastAsia="方正书宋简体" w:cs="MS Gothic"/>
                <w:color w:val="000000"/>
                <w:szCs w:val="21"/>
              </w:rPr>
              <w:t>学习领域5:数据处理系统的应用</w:t>
            </w:r>
          </w:p>
          <w:p w14:paraId="4B6EBA7D">
            <w:pPr>
              <w:adjustRightInd w:val="0"/>
              <w:snapToGrid w:val="0"/>
              <w:jc w:val="left"/>
              <w:rPr>
                <w:rFonts w:hint="eastAsia" w:ascii="方正书宋简体" w:hAnsi="楷体" w:eastAsia="方正书宋简体" w:cs="MS Gothic"/>
                <w:color w:val="000000"/>
                <w:szCs w:val="21"/>
              </w:rPr>
            </w:pPr>
            <w:r>
              <w:rPr>
                <w:rFonts w:hint="eastAsia" w:ascii="方正书宋简体" w:hAnsi="楷体" w:eastAsia="方正书宋简体" w:cs="MS Gothic"/>
                <w:color w:val="000000"/>
                <w:szCs w:val="21"/>
              </w:rPr>
              <w:t>学习领域6:工作过程的计划和组织</w:t>
            </w:r>
          </w:p>
          <w:p w14:paraId="027A7507">
            <w:pPr>
              <w:adjustRightInd w:val="0"/>
              <w:snapToGrid w:val="0"/>
              <w:jc w:val="left"/>
              <w:rPr>
                <w:rFonts w:hint="eastAsia" w:ascii="方正书宋简体" w:hAnsi="楷体" w:eastAsia="方正书宋简体" w:cs="MS Gothic"/>
                <w:color w:val="000000"/>
                <w:szCs w:val="21"/>
              </w:rPr>
            </w:pPr>
            <w:r>
              <w:rPr>
                <w:rFonts w:hint="eastAsia" w:ascii="方正书宋简体" w:hAnsi="楷体" w:eastAsia="方正书宋简体" w:cs="MS Gothic"/>
                <w:color w:val="000000"/>
                <w:szCs w:val="21"/>
              </w:rPr>
              <w:t>学习领域8:机电一体化系统的项目设计与优化</w:t>
            </w:r>
          </w:p>
          <w:p w14:paraId="414C346E">
            <w:pPr>
              <w:adjustRightInd w:val="0"/>
              <w:snapToGrid w:val="0"/>
              <w:jc w:val="left"/>
              <w:rPr>
                <w:rFonts w:hint="eastAsia" w:ascii="方正书宋简体" w:hAnsi="楷体" w:eastAsia="方正书宋简体" w:cs="MS Gothic"/>
                <w:color w:val="000000"/>
                <w:szCs w:val="21"/>
              </w:rPr>
            </w:pPr>
            <w:r>
              <w:rPr>
                <w:rFonts w:hint="eastAsia" w:ascii="方正书宋简体" w:hAnsi="楷体" w:eastAsia="方正书宋简体" w:cs="MS Gothic"/>
                <w:color w:val="000000"/>
                <w:szCs w:val="21"/>
              </w:rPr>
              <w:t>学习领域11:机电一体化系统的故障排除</w:t>
            </w:r>
          </w:p>
          <w:p w14:paraId="626B96A2">
            <w:pPr>
              <w:adjustRightInd w:val="0"/>
              <w:snapToGrid w:val="0"/>
              <w:jc w:val="left"/>
              <w:rPr>
                <w:rFonts w:hint="eastAsia" w:ascii="方正书宋简体" w:hAnsi="楷体" w:eastAsia="方正书宋简体" w:cs="MS Gothic"/>
                <w:color w:val="000000"/>
                <w:szCs w:val="21"/>
              </w:rPr>
            </w:pPr>
            <w:r>
              <w:rPr>
                <w:rFonts w:hint="eastAsia" w:ascii="方正书宋简体" w:hAnsi="楷体" w:eastAsia="方正书宋简体" w:cs="MS Gothic"/>
                <w:color w:val="000000"/>
                <w:szCs w:val="21"/>
              </w:rPr>
              <w:t>学习领域12:机电一体化系统预防性维护</w:t>
            </w:r>
          </w:p>
          <w:p w14:paraId="3A3AF67F">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rPr>
              <w:t>学习领域13:机电一体化系统的移交</w:t>
            </w:r>
          </w:p>
        </w:tc>
      </w:tr>
    </w:tbl>
    <w:p w14:paraId="6DEAB385">
      <w:pPr>
        <w:adjustRightInd w:val="0"/>
        <w:snapToGrid w:val="0"/>
        <w:spacing w:before="120" w:beforeLines="50" w:after="120" w:afterLines="50" w:line="380" w:lineRule="exact"/>
        <w:ind w:firstLine="560" w:firstLineChars="200"/>
        <w:rPr>
          <w:rFonts w:hint="eastAsia" w:ascii="方正黑体简体" w:hAnsi="楷体" w:eastAsia="方正黑体简体" w:cs="MS Gothic"/>
          <w:color w:val="000000"/>
          <w:sz w:val="28"/>
          <w:szCs w:val="28"/>
          <w:lang w:val="en-US" w:eastAsia="zh-CN"/>
        </w:rPr>
      </w:pPr>
      <w:bookmarkStart w:id="18" w:name="_Toc31197"/>
      <w:bookmarkStart w:id="19" w:name="_Toc25396"/>
      <w:r>
        <w:rPr>
          <w:rFonts w:hint="eastAsia" w:ascii="方正黑体简体" w:hAnsi="楷体" w:eastAsia="方正黑体简体" w:cs="MS Gothic"/>
          <w:color w:val="000000"/>
          <w:sz w:val="28"/>
          <w:szCs w:val="28"/>
          <w:lang w:val="en-US" w:eastAsia="zh-CN"/>
        </w:rPr>
        <w:t>七</w:t>
      </w:r>
      <w:r>
        <w:rPr>
          <w:rFonts w:hint="eastAsia" w:ascii="方正黑体简体" w:hAnsi="楷体" w:eastAsia="方正黑体简体" w:cs="MS Gothic"/>
          <w:color w:val="000000"/>
          <w:sz w:val="28"/>
          <w:szCs w:val="28"/>
        </w:rPr>
        <w:t>、</w:t>
      </w:r>
      <w:r>
        <w:rPr>
          <w:rFonts w:hint="eastAsia" w:ascii="方正黑体简体" w:hAnsi="楷体" w:eastAsia="方正黑体简体" w:cs="MS Gothic"/>
          <w:color w:val="000000"/>
          <w:sz w:val="28"/>
          <w:szCs w:val="28"/>
          <w:lang w:val="en-US" w:eastAsia="zh-CN"/>
        </w:rPr>
        <w:t>主要课程简介</w:t>
      </w:r>
      <w:bookmarkEnd w:id="18"/>
      <w:bookmarkEnd w:id="19"/>
    </w:p>
    <w:p w14:paraId="43068F51">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bookmarkStart w:id="20" w:name="_Toc14787"/>
      <w:r>
        <w:rPr>
          <w:rFonts w:hint="eastAsia" w:ascii="方正黑体简体" w:hAnsi="楷体" w:eastAsia="方正黑体简体" w:cs="MS Gothic"/>
          <w:color w:val="000000"/>
          <w:sz w:val="24"/>
          <w:lang w:val="en-US" w:eastAsia="zh-CN"/>
        </w:rPr>
        <w:t>（一）公共基础课程</w:t>
      </w:r>
      <w:bookmarkEnd w:id="20"/>
    </w:p>
    <w:p w14:paraId="337CA4C5">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bookmarkStart w:id="21" w:name="_Toc19854"/>
      <w:r>
        <w:rPr>
          <w:rFonts w:hint="eastAsia" w:ascii="方正黑体简体" w:hAnsi="楷体" w:eastAsia="方正黑体简体" w:cs="MS Gothic"/>
          <w:color w:val="000000"/>
          <w:sz w:val="24"/>
          <w:lang w:val="en-US" w:eastAsia="zh-CN"/>
        </w:rPr>
        <w:t>（一）公共基础课程</w:t>
      </w:r>
    </w:p>
    <w:p w14:paraId="72533EC0">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1.思想道德与法治</w:t>
      </w:r>
    </w:p>
    <w:p w14:paraId="619823EF">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是一门融思想性、政治性、科学性、理论性、实践性于一体的思想政治理论课。课程内容包括人生观、理想信念、中国精神、社会主义核心价值观、道德规范、法治思想等。本课程针对大学生成长过程中面临的思想道德与法治问题，开展马克思主义的人生观、价值观、道德观、法治观教育，帮助大学生提升思想道德素质和法治素养，成长为自觉担当民族复兴大任的时代新人。</w:t>
      </w:r>
    </w:p>
    <w:p w14:paraId="147C2621">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2.毛泽东思想和中国特色社会主义理论体系概论</w:t>
      </w:r>
    </w:p>
    <w:p w14:paraId="308C747E">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以马克思主义中国化时代化为主线，充分反映中国共产党不断推进马克思主义基本原理同中国具体实际相结合、同中华优秀传统文化相结合的历史进程和基本经验，集中阐述马克思主义中国化时代化理论成果的形成过程、主要内容、精神实质、历史地位和指导意义，重点阐述毛泽东思想、邓小平理论、“三个代表”重要思想、科学发展观。</w:t>
      </w:r>
    </w:p>
    <w:p w14:paraId="72C7EC43">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3.新中国史</w:t>
      </w:r>
    </w:p>
    <w:p w14:paraId="19067073">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该课程包含新中国成立和社会主义制度的确立；全面建设社会主义的二十年；开启改革开放历史新时期；开辟中国特色社会主义历史伟业；把中国特色社会主义推向21世纪；向全面建设小康社会目标迈进；走向复兴：中国特色社会主义进入新时代七个篇章。通过学习，深化对共产党执政规律、社会主义建设规律、人类社会发展规律的认识，为实现中华民族伟大复兴的中国梦提供坚实的理论支撑。</w:t>
      </w:r>
    </w:p>
    <w:p w14:paraId="02AAC3FB">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4.习近平新时代中国特色社会主义思想概论</w:t>
      </w:r>
    </w:p>
    <w:p w14:paraId="6B048E00">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本课程在思想政治理论课课程体系中居于核心地位，是学习和掌握习近平新时代中国特色社会主义思想创立的时代背景、丰富内涵、精神实质、历史地位和实践要求等基本知识的主渠道。 内容包括习近平经济思想、文化思想和关于党的建设的重要思想等。通过课程学习，增进政治认同、思想认同、理论认同、情感认同，切实做到学思用贯通、知信行统一。</w:t>
      </w:r>
    </w:p>
    <w:p w14:paraId="187D5845">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5.形势与政策</w:t>
      </w:r>
    </w:p>
    <w:p w14:paraId="04776EBF">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是帮助大学生正确认识新时代中国国内外形势，深刻领会党的十八大以来党和国家事业取得历史性成就、发生历史性变革、面临历史性挑战和机遇的课程。</w:t>
      </w:r>
    </w:p>
    <w:p w14:paraId="782F9053">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6.军事理论</w:t>
      </w:r>
    </w:p>
    <w:p w14:paraId="6A38ED31">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课程以马列主义、毛泽东思想和中国特色社会主义理论体系为指导，以国防教育为主线，以习近平强军思想为重点。课程主要教学内容包括中国国防、军事思想、国家安全、现代战争和信息化装备五大部分。</w:t>
      </w:r>
    </w:p>
    <w:p w14:paraId="1933B675">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7.大学体育与健康</w:t>
      </w:r>
    </w:p>
    <w:p w14:paraId="2A13879B">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本课程分为体育基础课和分项课。体育基础课以身体练习和各分项介绍为主；分项课分为篮球、排球、足球、乒乓球、羽毛球、网球、武术、健美操、地掷球、健身气功、毽球、跆拳道、匹克球、体育保健十四个项 目，培养学生掌握强身健体的基本技能，学会自我管理的健康生活方式。</w:t>
      </w:r>
    </w:p>
    <w:p w14:paraId="14DA36E6">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8.大学生心理健康</w:t>
      </w:r>
    </w:p>
    <w:p w14:paraId="2322DF89">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课程密切结合当前时代特征和高职学生心理特点，有 目的有计划地讲授必要的心理健康知识，引导学生进行自我认知层面的体验，提高学生心理健康素养，增强大学生整体心理健康维护能力和心理健康问题的应对水平。具体内容包含大学生的适应与自我发展、自主学习、人际交往、情绪情感调节、恋爱与性心理、人格发展和心理危机应对等。</w:t>
      </w:r>
    </w:p>
    <w:p w14:paraId="12AFC11B">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9.新愚公核心素养</w:t>
      </w:r>
    </w:p>
    <w:p w14:paraId="62C468C3">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课程将新时代愚公移山精神和工匠精神融入学生发展核心素养，着重培养高职学生适应职业发展和社会发展需要的必备品格和关键能力。课程内容包含理想导航、法制安全、时间管理、志愿服务、沟通表达、审美情趣、团队精神、职业发展、素质拓展等16个专题。</w:t>
      </w:r>
    </w:p>
    <w:p w14:paraId="03373C1B">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10.大学生劳动教育</w:t>
      </w:r>
    </w:p>
    <w:p w14:paraId="0D93C24F">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该课程分理论和实践两个模块。理论模块包括：谈古论今说劳动、功成还需有匠心、劳模引领人生路等7个专题；实践模块包括：生活技能、职业技能和社会技能3个专题，旨在使学生树立正确的劳动观念，具有必备的劳动能力，培育积极的劳动精神，养成良好的劳动习惯和品质。</w:t>
      </w:r>
    </w:p>
    <w:p w14:paraId="5737153C">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11.信息技术与人工智能基础</w:t>
      </w:r>
    </w:p>
    <w:p w14:paraId="7140F411">
      <w:pPr>
        <w:adjustRightInd w:val="0"/>
        <w:snapToGrid w:val="0"/>
        <w:spacing w:line="380" w:lineRule="exact"/>
        <w:ind w:firstLine="480" w:firstLineChars="200"/>
        <w:rPr>
          <w:rFonts w:ascii="宋体" w:hAnsi="宋体" w:eastAsia="宋体" w:cs="宋体"/>
          <w:sz w:val="24"/>
          <w:szCs w:val="24"/>
        </w:rPr>
      </w:pPr>
      <w:r>
        <w:rPr>
          <w:rFonts w:ascii="宋体" w:hAnsi="宋体" w:eastAsia="宋体" w:cs="宋体"/>
          <w:sz w:val="24"/>
          <w:szCs w:val="24"/>
        </w:rPr>
        <w:t>本课程融合信息技术基础与人工智能通识内容，主要介绍WPS Office应用、信息检索方法、生成式AI技术，通过行业实际案例操作，让学生掌握WPS Office软件、生成式AI工具（如DeepSeek、豆包、LangChain等）的使用方法，培养学生智能化办公软件操作能力、信息检索能力和生成式AI工具创新应用能力。</w:t>
      </w:r>
    </w:p>
    <w:p w14:paraId="7B957AC4">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12.职业生涯规划</w:t>
      </w:r>
    </w:p>
    <w:p w14:paraId="613605D4">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通过课程学习，引导学生确立科学的职业意识，形成正确的就业观，了解社会对各类人才的需求标准，明确今后努力的方向，制定系统的大学学业计划。</w:t>
      </w:r>
    </w:p>
    <w:p w14:paraId="5DA723CD">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13.就业指导</w:t>
      </w:r>
    </w:p>
    <w:p w14:paraId="230AA70F">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通过课程学习，帮助学生掌握基本的求职就业知识和技能，理性对待职业发展，树立积极正确的人生观、价值观和就业观。</w:t>
      </w:r>
    </w:p>
    <w:p w14:paraId="18D4E64E">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14.创新创业基础</w:t>
      </w:r>
    </w:p>
    <w:p w14:paraId="1A4E05EC">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通过课程学习，掌握开展创业活动所需要的基本知识，认知创业的基本内涵和创业活动的特殊性，认识和分析创业者、创业机会、创业资源、创业计划和创业项 目。使学生了解创业与创业精神的关系、创业与人生发展的关系，以及创业和创业精神在当今时代背景下的意义和价值，正确认识并理性对待创业。</w:t>
      </w:r>
    </w:p>
    <w:p w14:paraId="797198FA">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15.高等数学</w:t>
      </w:r>
    </w:p>
    <w:p w14:paraId="26DC76AA">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本课程的主要内容有：函数的极限、导数与微分、不定积分、定积分及其应用。遵循高职教育的教学规律，本着重能力、重素质、求创新的总体思路，理解概念、注重应用，让学生学会用运动和变化的观点思考问题，初步会用数学思想和数学方法分析处理某些实际问题。</w:t>
      </w:r>
    </w:p>
    <w:p w14:paraId="24567949">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16.大学英语</w:t>
      </w:r>
    </w:p>
    <w:p w14:paraId="38339B87">
      <w:pPr>
        <w:adjustRightInd w:val="0"/>
        <w:snapToGrid w:val="0"/>
        <w:spacing w:line="380" w:lineRule="exact"/>
        <w:ind w:firstLine="480" w:firstLineChars="200"/>
        <w:rPr>
          <w:rFonts w:hint="eastAsia" w:ascii="方正黑体简体" w:hAnsi="楷体" w:eastAsia="方正黑体简体" w:cs="MS Gothic"/>
          <w:color w:val="C00000"/>
          <w:sz w:val="24"/>
        </w:rPr>
      </w:pPr>
      <w:r>
        <w:rPr>
          <w:rFonts w:hint="eastAsia" w:ascii="方正书宋简体" w:hAnsi="楷体" w:eastAsia="方正书宋简体" w:cs="MS Gothic"/>
          <w:color w:val="000000"/>
          <w:sz w:val="24"/>
          <w:lang w:eastAsia="zh-CN"/>
        </w:rPr>
        <w:t>本课程重在培养大学生语言听、说、读、写、译的思维能力与实践能力，遵循大学英语的教学规律，选用具有时代性、新颖性、话题性、批判性的教学素材，开展语言教学、培养学生批判性思维、了解中西文化异同，增强大学生社会责任感，激发大学生的民族意识和家国情怀，树立正确的人生价值观和家国观。</w:t>
      </w:r>
    </w:p>
    <w:p w14:paraId="7E678712">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r>
        <w:rPr>
          <w:rFonts w:hint="eastAsia" w:ascii="方正黑体简体" w:hAnsi="楷体" w:eastAsia="方正黑体简体" w:cs="MS Gothic"/>
          <w:color w:val="000000"/>
          <w:sz w:val="24"/>
          <w:lang w:val="en-US" w:eastAsia="zh-CN"/>
        </w:rPr>
        <w:t>（二）专业（技能）课程</w:t>
      </w:r>
      <w:bookmarkEnd w:id="21"/>
    </w:p>
    <w:p w14:paraId="09A8A7C6">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bookmarkStart w:id="22" w:name="_Toc32740"/>
      <w:bookmarkStart w:id="23" w:name="_Toc14935"/>
      <w:r>
        <w:rPr>
          <w:rFonts w:hint="eastAsia" w:ascii="方正书宋简体" w:hAnsi="楷体" w:eastAsia="方正书宋简体" w:cs="MS Gothic"/>
          <w:color w:val="000000"/>
          <w:sz w:val="24"/>
          <w:lang w:val="en-US" w:eastAsia="zh-CN"/>
        </w:rPr>
        <w:t>专业核心课程分为十三个学习领域，如表2所示。</w:t>
      </w:r>
    </w:p>
    <w:p w14:paraId="2CA669F0">
      <w:pPr>
        <w:keepNext w:val="0"/>
        <w:keepLines w:val="0"/>
        <w:pageBreakBefore w:val="0"/>
        <w:widowControl/>
        <w:kinsoku/>
        <w:wordWrap/>
        <w:overflowPunct/>
        <w:topLinePunct w:val="0"/>
        <w:bidi w:val="0"/>
        <w:spacing w:before="123" w:line="241" w:lineRule="auto"/>
        <w:ind w:left="686"/>
        <w:jc w:val="center"/>
        <w:rPr>
          <w:rFonts w:hint="default" w:ascii="黑体" w:hAnsi="黑体" w:eastAsia="黑体" w:cs="黑体"/>
          <w:spacing w:val="-3"/>
          <w:sz w:val="24"/>
          <w:szCs w:val="24"/>
          <w:lang w:val="en-US" w:eastAsia="zh-CN"/>
        </w:rPr>
      </w:pPr>
      <w:r>
        <w:rPr>
          <w:rFonts w:hint="eastAsia" w:ascii="黑体" w:hAnsi="黑体" w:eastAsia="黑体" w:cs="黑体"/>
          <w:spacing w:val="-3"/>
          <w:sz w:val="24"/>
          <w:szCs w:val="24"/>
          <w:lang w:val="en-US" w:eastAsia="zh-CN"/>
        </w:rPr>
        <w:t>表2  专业核心课程</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15" w:type="dxa"/>
          <w:left w:w="15" w:type="dxa"/>
          <w:bottom w:w="15" w:type="dxa"/>
          <w:right w:w="15" w:type="dxa"/>
        </w:tblCellMar>
      </w:tblPr>
      <w:tblGrid>
        <w:gridCol w:w="798"/>
        <w:gridCol w:w="3480"/>
        <w:gridCol w:w="1296"/>
        <w:gridCol w:w="3585"/>
      </w:tblGrid>
      <w:tr w14:paraId="4DD60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170" w:hRule="atLeast"/>
          <w:tblHeader/>
          <w:jc w:val="center"/>
        </w:trPr>
        <w:tc>
          <w:tcPr>
            <w:tcW w:w="798" w:type="dxa"/>
            <w:shd w:val="clear" w:color="auto" w:fill="FFFFFF"/>
            <w:tcMar>
              <w:top w:w="120" w:type="dxa"/>
              <w:left w:w="0" w:type="dxa"/>
              <w:bottom w:w="120" w:type="dxa"/>
              <w:right w:w="120" w:type="dxa"/>
            </w:tcMar>
            <w:vAlign w:val="center"/>
          </w:tcPr>
          <w:p w14:paraId="124A3FA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left="0" w:leftChars="0" w:right="0" w:rightChars="0"/>
              <w:jc w:val="center"/>
              <w:textAlignment w:val="center"/>
              <w:rPr>
                <w:rFonts w:hint="eastAsia" w:ascii="方正仿宋_GBK" w:hAnsi="方正仿宋_GBK" w:eastAsia="方正仿宋_GBK" w:cs="方正仿宋_GBK"/>
                <w:b/>
                <w:bCs/>
                <w:i w:val="0"/>
                <w:iCs w:val="0"/>
                <w:snapToGrid w:val="0"/>
                <w:color w:val="000000"/>
                <w:kern w:val="0"/>
                <w:sz w:val="21"/>
                <w:szCs w:val="21"/>
                <w:u w:val="none"/>
                <w:lang w:val="en-US" w:eastAsia="zh-CN" w:bidi="ar"/>
              </w:rPr>
            </w:pPr>
            <w:r>
              <w:rPr>
                <w:rFonts w:hint="default" w:ascii="方正仿宋_GBK" w:hAnsi="方正仿宋_GBK" w:eastAsia="方正仿宋_GBK" w:cs="方正仿宋_GBK"/>
                <w:b/>
                <w:bCs/>
                <w:i w:val="0"/>
                <w:iCs w:val="0"/>
                <w:snapToGrid w:val="0"/>
                <w:color w:val="000000"/>
                <w:kern w:val="0"/>
                <w:sz w:val="21"/>
                <w:szCs w:val="21"/>
                <w:u w:val="none"/>
                <w:lang w:val="en-US" w:eastAsia="zh-CN" w:bidi="ar"/>
              </w:rPr>
              <w:t>序号</w:t>
            </w:r>
          </w:p>
        </w:tc>
        <w:tc>
          <w:tcPr>
            <w:tcW w:w="3480" w:type="dxa"/>
            <w:shd w:val="clear" w:color="auto" w:fill="FFFFFF"/>
            <w:tcMar>
              <w:top w:w="120" w:type="dxa"/>
              <w:left w:w="120" w:type="dxa"/>
              <w:bottom w:w="120" w:type="dxa"/>
              <w:right w:w="120" w:type="dxa"/>
            </w:tcMar>
            <w:vAlign w:val="center"/>
          </w:tcPr>
          <w:p w14:paraId="5A2A170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left="0" w:leftChars="0" w:right="0" w:rightChars="0"/>
              <w:jc w:val="center"/>
              <w:textAlignment w:val="center"/>
              <w:rPr>
                <w:rFonts w:hint="default" w:ascii="方正仿宋_GBK" w:hAnsi="方正仿宋_GBK" w:eastAsia="方正仿宋_GBK" w:cs="方正仿宋_GBK"/>
                <w:b/>
                <w:bCs/>
                <w:i w:val="0"/>
                <w:iCs w:val="0"/>
                <w:snapToGrid w:val="0"/>
                <w:color w:val="000000"/>
                <w:kern w:val="0"/>
                <w:sz w:val="21"/>
                <w:szCs w:val="21"/>
                <w:u w:val="none"/>
                <w:lang w:val="en-US" w:eastAsia="zh-CN" w:bidi="ar"/>
              </w:rPr>
            </w:pPr>
            <w:r>
              <w:rPr>
                <w:rFonts w:hint="default" w:ascii="方正仿宋_GBK" w:hAnsi="方正仿宋_GBK" w:eastAsia="方正仿宋_GBK" w:cs="方正仿宋_GBK"/>
                <w:b/>
                <w:bCs/>
                <w:i w:val="0"/>
                <w:iCs w:val="0"/>
                <w:snapToGrid w:val="0"/>
                <w:color w:val="000000"/>
                <w:kern w:val="0"/>
                <w:sz w:val="21"/>
                <w:szCs w:val="21"/>
                <w:u w:val="none"/>
                <w:lang w:val="en-US" w:eastAsia="zh-CN" w:bidi="ar"/>
              </w:rPr>
              <w:t>学习领域名称</w:t>
            </w:r>
          </w:p>
        </w:tc>
        <w:tc>
          <w:tcPr>
            <w:tcW w:w="1296" w:type="dxa"/>
            <w:shd w:val="clear" w:color="auto" w:fill="FFFFFF"/>
            <w:tcMar>
              <w:top w:w="120" w:type="dxa"/>
              <w:left w:w="120" w:type="dxa"/>
              <w:bottom w:w="120" w:type="dxa"/>
              <w:right w:w="120" w:type="dxa"/>
            </w:tcMar>
            <w:vAlign w:val="center"/>
          </w:tcPr>
          <w:p w14:paraId="42EF4AA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left="0" w:leftChars="0" w:right="0" w:rightChars="0"/>
              <w:jc w:val="center"/>
              <w:textAlignment w:val="center"/>
              <w:rPr>
                <w:rFonts w:hint="default" w:ascii="方正仿宋_GBK" w:hAnsi="方正仿宋_GBK" w:eastAsia="方正仿宋_GBK" w:cs="方正仿宋_GBK"/>
                <w:b/>
                <w:bCs/>
                <w:i w:val="0"/>
                <w:iCs w:val="0"/>
                <w:snapToGrid w:val="0"/>
                <w:color w:val="000000"/>
                <w:kern w:val="0"/>
                <w:sz w:val="21"/>
                <w:szCs w:val="21"/>
                <w:u w:val="none"/>
                <w:lang w:val="en-US" w:eastAsia="zh-CN" w:bidi="ar"/>
              </w:rPr>
            </w:pPr>
            <w:r>
              <w:rPr>
                <w:rFonts w:hint="default" w:ascii="方正仿宋_GBK" w:hAnsi="方正仿宋_GBK" w:eastAsia="方正仿宋_GBK" w:cs="方正仿宋_GBK"/>
                <w:b/>
                <w:bCs/>
                <w:i w:val="0"/>
                <w:iCs w:val="0"/>
                <w:snapToGrid w:val="0"/>
                <w:color w:val="000000"/>
                <w:kern w:val="0"/>
                <w:sz w:val="21"/>
                <w:szCs w:val="21"/>
                <w:u w:val="none"/>
                <w:lang w:val="en-US" w:eastAsia="zh-CN" w:bidi="ar"/>
              </w:rPr>
              <w:t>序号</w:t>
            </w:r>
          </w:p>
        </w:tc>
        <w:tc>
          <w:tcPr>
            <w:tcW w:w="3585" w:type="dxa"/>
            <w:shd w:val="clear" w:color="auto" w:fill="FFFFFF"/>
            <w:tcMar>
              <w:top w:w="120" w:type="dxa"/>
              <w:left w:w="120" w:type="dxa"/>
              <w:bottom w:w="120" w:type="dxa"/>
              <w:right w:w="120" w:type="dxa"/>
            </w:tcMar>
            <w:vAlign w:val="center"/>
          </w:tcPr>
          <w:p w14:paraId="31C033F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left="0" w:leftChars="0" w:right="0" w:rightChars="0"/>
              <w:jc w:val="center"/>
              <w:textAlignment w:val="center"/>
              <w:rPr>
                <w:rFonts w:hint="default" w:ascii="方正仿宋_GBK" w:hAnsi="方正仿宋_GBK" w:eastAsia="方正仿宋_GBK" w:cs="方正仿宋_GBK"/>
                <w:b/>
                <w:bCs/>
                <w:i w:val="0"/>
                <w:iCs w:val="0"/>
                <w:snapToGrid w:val="0"/>
                <w:color w:val="000000"/>
                <w:kern w:val="0"/>
                <w:sz w:val="21"/>
                <w:szCs w:val="21"/>
                <w:u w:val="none"/>
                <w:lang w:val="en-US" w:eastAsia="zh-CN" w:bidi="ar"/>
              </w:rPr>
            </w:pPr>
            <w:r>
              <w:rPr>
                <w:rFonts w:hint="default" w:ascii="方正仿宋_GBK" w:hAnsi="方正仿宋_GBK" w:eastAsia="方正仿宋_GBK" w:cs="方正仿宋_GBK"/>
                <w:b/>
                <w:bCs/>
                <w:i w:val="0"/>
                <w:iCs w:val="0"/>
                <w:snapToGrid w:val="0"/>
                <w:color w:val="000000"/>
                <w:kern w:val="0"/>
                <w:sz w:val="21"/>
                <w:szCs w:val="21"/>
                <w:u w:val="none"/>
                <w:lang w:val="en-US" w:eastAsia="zh-CN" w:bidi="ar"/>
              </w:rPr>
              <w:t>学习领域名称</w:t>
            </w:r>
          </w:p>
        </w:tc>
      </w:tr>
      <w:tr w14:paraId="4161D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170" w:hRule="atLeast"/>
          <w:jc w:val="center"/>
        </w:trPr>
        <w:tc>
          <w:tcPr>
            <w:tcW w:w="798" w:type="dxa"/>
            <w:shd w:val="clear" w:color="auto" w:fill="FFFFFF"/>
            <w:tcMar>
              <w:top w:w="120" w:type="dxa"/>
              <w:left w:w="0" w:type="dxa"/>
              <w:bottom w:w="120" w:type="dxa"/>
              <w:right w:w="120" w:type="dxa"/>
            </w:tcMar>
            <w:vAlign w:val="center"/>
          </w:tcPr>
          <w:p w14:paraId="08D70941">
            <w:pPr>
              <w:keepNext w:val="0"/>
              <w:keepLines w:val="0"/>
              <w:pageBreakBefore w:val="0"/>
              <w:wordWrap/>
              <w:overflowPunct/>
              <w:topLinePunct w:val="0"/>
              <w:bidi w:val="0"/>
              <w:adjustRightInd w:val="0"/>
              <w:snapToGrid w:val="0"/>
              <w:spacing w:line="240" w:lineRule="auto"/>
              <w:jc w:val="center"/>
              <w:rPr>
                <w:rFonts w:hint="default" w:ascii="方正书宋简体" w:hAnsi="楷体" w:eastAsia="方正书宋简体" w:cs="MS Gothic"/>
                <w:color w:val="000000"/>
                <w:szCs w:val="21"/>
                <w:lang w:val="en-US" w:eastAsia="zh-CN"/>
              </w:rPr>
            </w:pPr>
            <w:r>
              <w:rPr>
                <w:rFonts w:hint="default" w:ascii="方正书宋简体" w:hAnsi="楷体" w:eastAsia="方正书宋简体" w:cs="MS Gothic"/>
                <w:color w:val="000000"/>
                <w:szCs w:val="21"/>
                <w:lang w:val="en-US" w:eastAsia="zh-CN"/>
              </w:rPr>
              <w:t>1</w:t>
            </w:r>
          </w:p>
        </w:tc>
        <w:tc>
          <w:tcPr>
            <w:tcW w:w="3480" w:type="dxa"/>
            <w:shd w:val="clear" w:color="auto" w:fill="FFFFFF"/>
            <w:tcMar>
              <w:top w:w="120" w:type="dxa"/>
              <w:left w:w="120" w:type="dxa"/>
              <w:bottom w:w="120" w:type="dxa"/>
              <w:right w:w="120" w:type="dxa"/>
            </w:tcMar>
            <w:vAlign w:val="center"/>
          </w:tcPr>
          <w:p w14:paraId="0ACE83E1">
            <w:pPr>
              <w:keepNext w:val="0"/>
              <w:keepLines w:val="0"/>
              <w:pageBreakBefore w:val="0"/>
              <w:wordWrap/>
              <w:overflowPunct/>
              <w:topLinePunct w:val="0"/>
              <w:bidi w:val="0"/>
              <w:adjustRightInd w:val="0"/>
              <w:snapToGrid w:val="0"/>
              <w:spacing w:line="240" w:lineRule="auto"/>
              <w:jc w:val="left"/>
              <w:rPr>
                <w:rFonts w:hint="default" w:ascii="方正书宋简体" w:hAnsi="楷体" w:eastAsia="方正书宋简体" w:cs="MS Gothic"/>
                <w:color w:val="000000"/>
                <w:szCs w:val="21"/>
                <w:lang w:val="en-US" w:eastAsia="zh-CN"/>
              </w:rPr>
            </w:pPr>
            <w:r>
              <w:rPr>
                <w:rFonts w:hint="default" w:ascii="方正书宋简体" w:hAnsi="楷体" w:eastAsia="方正书宋简体" w:cs="MS Gothic"/>
                <w:color w:val="000000"/>
                <w:szCs w:val="21"/>
                <w:lang w:val="en-US" w:eastAsia="zh-CN"/>
              </w:rPr>
              <w:t>机电一体化系统功能分析</w:t>
            </w:r>
          </w:p>
        </w:tc>
        <w:tc>
          <w:tcPr>
            <w:tcW w:w="1296" w:type="dxa"/>
            <w:shd w:val="clear" w:color="auto" w:fill="FFFFFF"/>
            <w:tcMar>
              <w:top w:w="120" w:type="dxa"/>
              <w:left w:w="120" w:type="dxa"/>
              <w:bottom w:w="120" w:type="dxa"/>
              <w:right w:w="120" w:type="dxa"/>
            </w:tcMar>
            <w:vAlign w:val="center"/>
          </w:tcPr>
          <w:p w14:paraId="41611713">
            <w:pPr>
              <w:keepNext w:val="0"/>
              <w:keepLines w:val="0"/>
              <w:pageBreakBefore w:val="0"/>
              <w:wordWrap/>
              <w:overflowPunct/>
              <w:topLinePunct w:val="0"/>
              <w:bidi w:val="0"/>
              <w:adjustRightInd w:val="0"/>
              <w:snapToGrid w:val="0"/>
              <w:spacing w:line="240" w:lineRule="auto"/>
              <w:jc w:val="center"/>
              <w:rPr>
                <w:rFonts w:hint="default" w:ascii="方正书宋简体" w:hAnsi="楷体" w:eastAsia="方正书宋简体" w:cs="MS Gothic"/>
                <w:color w:val="000000"/>
                <w:szCs w:val="21"/>
                <w:lang w:val="en-US" w:eastAsia="zh-CN"/>
              </w:rPr>
            </w:pPr>
            <w:r>
              <w:rPr>
                <w:rFonts w:hint="default" w:ascii="方正书宋简体" w:hAnsi="楷体" w:eastAsia="方正书宋简体" w:cs="MS Gothic"/>
                <w:color w:val="000000"/>
                <w:szCs w:val="21"/>
                <w:lang w:val="en-US" w:eastAsia="zh-CN"/>
              </w:rPr>
              <w:t>8</w:t>
            </w:r>
          </w:p>
        </w:tc>
        <w:tc>
          <w:tcPr>
            <w:tcW w:w="3585" w:type="dxa"/>
            <w:shd w:val="clear" w:color="auto" w:fill="FFFFFF"/>
            <w:tcMar>
              <w:top w:w="120" w:type="dxa"/>
              <w:left w:w="120" w:type="dxa"/>
              <w:bottom w:w="120" w:type="dxa"/>
              <w:right w:w="120" w:type="dxa"/>
            </w:tcMar>
            <w:vAlign w:val="center"/>
          </w:tcPr>
          <w:p w14:paraId="564E379D">
            <w:pPr>
              <w:keepNext w:val="0"/>
              <w:keepLines w:val="0"/>
              <w:pageBreakBefore w:val="0"/>
              <w:wordWrap/>
              <w:overflowPunct/>
              <w:topLinePunct w:val="0"/>
              <w:bidi w:val="0"/>
              <w:adjustRightInd w:val="0"/>
              <w:snapToGrid w:val="0"/>
              <w:spacing w:line="240" w:lineRule="auto"/>
              <w:jc w:val="left"/>
              <w:rPr>
                <w:rFonts w:hint="default" w:ascii="方正书宋简体" w:hAnsi="楷体" w:eastAsia="方正书宋简体" w:cs="MS Gothic"/>
                <w:color w:val="000000"/>
                <w:szCs w:val="21"/>
                <w:lang w:val="en-US" w:eastAsia="zh-CN"/>
              </w:rPr>
            </w:pPr>
            <w:r>
              <w:rPr>
                <w:rFonts w:hint="default" w:ascii="方正书宋简体" w:hAnsi="楷体" w:eastAsia="方正书宋简体" w:cs="MS Gothic"/>
                <w:color w:val="000000"/>
                <w:szCs w:val="21"/>
                <w:lang w:val="en-US" w:eastAsia="zh-CN"/>
              </w:rPr>
              <w:t>机电一体化系统的项目设计与优化</w:t>
            </w:r>
          </w:p>
        </w:tc>
      </w:tr>
      <w:tr w14:paraId="154D1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170" w:hRule="atLeast"/>
          <w:jc w:val="center"/>
        </w:trPr>
        <w:tc>
          <w:tcPr>
            <w:tcW w:w="798" w:type="dxa"/>
            <w:shd w:val="clear" w:color="auto" w:fill="FFFFFF"/>
            <w:tcMar>
              <w:top w:w="120" w:type="dxa"/>
              <w:left w:w="0" w:type="dxa"/>
              <w:bottom w:w="120" w:type="dxa"/>
              <w:right w:w="120" w:type="dxa"/>
            </w:tcMar>
            <w:vAlign w:val="center"/>
          </w:tcPr>
          <w:p w14:paraId="6332DC42">
            <w:pPr>
              <w:keepNext w:val="0"/>
              <w:keepLines w:val="0"/>
              <w:pageBreakBefore w:val="0"/>
              <w:wordWrap/>
              <w:overflowPunct/>
              <w:topLinePunct w:val="0"/>
              <w:bidi w:val="0"/>
              <w:adjustRightInd w:val="0"/>
              <w:snapToGrid w:val="0"/>
              <w:spacing w:line="240" w:lineRule="auto"/>
              <w:jc w:val="center"/>
              <w:rPr>
                <w:rFonts w:hint="default" w:ascii="方正书宋简体" w:hAnsi="楷体" w:eastAsia="方正书宋简体" w:cs="MS Gothic"/>
                <w:color w:val="000000"/>
                <w:szCs w:val="21"/>
                <w:lang w:val="en-US" w:eastAsia="zh-CN"/>
              </w:rPr>
            </w:pPr>
            <w:r>
              <w:rPr>
                <w:rFonts w:hint="default" w:ascii="方正书宋简体" w:hAnsi="楷体" w:eastAsia="方正书宋简体" w:cs="MS Gothic"/>
                <w:color w:val="000000"/>
                <w:szCs w:val="21"/>
                <w:lang w:val="en-US" w:eastAsia="zh-CN"/>
              </w:rPr>
              <w:t>2</w:t>
            </w:r>
          </w:p>
        </w:tc>
        <w:tc>
          <w:tcPr>
            <w:tcW w:w="3480" w:type="dxa"/>
            <w:shd w:val="clear" w:color="auto" w:fill="FFFFFF"/>
            <w:tcMar>
              <w:top w:w="120" w:type="dxa"/>
              <w:left w:w="120" w:type="dxa"/>
              <w:bottom w:w="120" w:type="dxa"/>
              <w:right w:w="120" w:type="dxa"/>
            </w:tcMar>
            <w:vAlign w:val="center"/>
          </w:tcPr>
          <w:p w14:paraId="71F0EC5E">
            <w:pPr>
              <w:keepNext w:val="0"/>
              <w:keepLines w:val="0"/>
              <w:pageBreakBefore w:val="0"/>
              <w:wordWrap/>
              <w:overflowPunct/>
              <w:topLinePunct w:val="0"/>
              <w:bidi w:val="0"/>
              <w:adjustRightInd w:val="0"/>
              <w:snapToGrid w:val="0"/>
              <w:spacing w:line="240" w:lineRule="auto"/>
              <w:jc w:val="left"/>
              <w:rPr>
                <w:rFonts w:hint="default" w:ascii="方正书宋简体" w:hAnsi="楷体" w:eastAsia="方正书宋简体" w:cs="MS Gothic"/>
                <w:color w:val="000000"/>
                <w:szCs w:val="21"/>
                <w:lang w:val="en-US" w:eastAsia="zh-CN"/>
              </w:rPr>
            </w:pPr>
            <w:r>
              <w:rPr>
                <w:rFonts w:hint="default" w:ascii="方正书宋简体" w:hAnsi="楷体" w:eastAsia="方正书宋简体" w:cs="MS Gothic"/>
                <w:color w:val="000000"/>
                <w:szCs w:val="21"/>
                <w:lang w:val="en-US" w:eastAsia="zh-CN"/>
              </w:rPr>
              <w:t>机械系统的制造和装配</w:t>
            </w:r>
          </w:p>
        </w:tc>
        <w:tc>
          <w:tcPr>
            <w:tcW w:w="1296" w:type="dxa"/>
            <w:shd w:val="clear" w:color="auto" w:fill="FFFFFF"/>
            <w:tcMar>
              <w:top w:w="120" w:type="dxa"/>
              <w:left w:w="120" w:type="dxa"/>
              <w:bottom w:w="120" w:type="dxa"/>
              <w:right w:w="120" w:type="dxa"/>
            </w:tcMar>
            <w:vAlign w:val="center"/>
          </w:tcPr>
          <w:p w14:paraId="3CE06DA9">
            <w:pPr>
              <w:keepNext w:val="0"/>
              <w:keepLines w:val="0"/>
              <w:pageBreakBefore w:val="0"/>
              <w:wordWrap/>
              <w:overflowPunct/>
              <w:topLinePunct w:val="0"/>
              <w:bidi w:val="0"/>
              <w:adjustRightInd w:val="0"/>
              <w:snapToGrid w:val="0"/>
              <w:spacing w:line="240" w:lineRule="auto"/>
              <w:jc w:val="center"/>
              <w:rPr>
                <w:rFonts w:hint="default" w:ascii="方正书宋简体" w:hAnsi="楷体" w:eastAsia="方正书宋简体" w:cs="MS Gothic"/>
                <w:color w:val="000000"/>
                <w:szCs w:val="21"/>
                <w:lang w:val="en-US" w:eastAsia="zh-CN"/>
              </w:rPr>
            </w:pPr>
            <w:r>
              <w:rPr>
                <w:rFonts w:hint="default" w:ascii="方正书宋简体" w:hAnsi="楷体" w:eastAsia="方正书宋简体" w:cs="MS Gothic"/>
                <w:color w:val="000000"/>
                <w:szCs w:val="21"/>
                <w:lang w:val="en-US" w:eastAsia="zh-CN"/>
              </w:rPr>
              <w:t>9</w:t>
            </w:r>
          </w:p>
        </w:tc>
        <w:tc>
          <w:tcPr>
            <w:tcW w:w="3585" w:type="dxa"/>
            <w:shd w:val="clear" w:color="auto" w:fill="FFFFFF"/>
            <w:tcMar>
              <w:top w:w="120" w:type="dxa"/>
              <w:left w:w="120" w:type="dxa"/>
              <w:bottom w:w="120" w:type="dxa"/>
              <w:right w:w="120" w:type="dxa"/>
            </w:tcMar>
            <w:vAlign w:val="center"/>
          </w:tcPr>
          <w:p w14:paraId="2D6522F0">
            <w:pPr>
              <w:keepNext w:val="0"/>
              <w:keepLines w:val="0"/>
              <w:pageBreakBefore w:val="0"/>
              <w:wordWrap/>
              <w:overflowPunct/>
              <w:topLinePunct w:val="0"/>
              <w:bidi w:val="0"/>
              <w:adjustRightInd w:val="0"/>
              <w:snapToGrid w:val="0"/>
              <w:spacing w:line="240" w:lineRule="auto"/>
              <w:jc w:val="left"/>
              <w:rPr>
                <w:rFonts w:hint="default" w:ascii="方正书宋简体" w:hAnsi="楷体" w:eastAsia="方正书宋简体" w:cs="MS Gothic"/>
                <w:color w:val="000000"/>
                <w:szCs w:val="21"/>
                <w:lang w:val="en-US" w:eastAsia="zh-CN"/>
              </w:rPr>
            </w:pPr>
            <w:r>
              <w:rPr>
                <w:rFonts w:hint="default" w:ascii="方正书宋简体" w:hAnsi="楷体" w:eastAsia="方正书宋简体" w:cs="MS Gothic"/>
                <w:color w:val="000000"/>
                <w:szCs w:val="21"/>
                <w:lang w:val="en-US" w:eastAsia="zh-CN"/>
              </w:rPr>
              <w:t>复杂机电一体化系统搭建与检查</w:t>
            </w:r>
          </w:p>
        </w:tc>
      </w:tr>
      <w:tr w14:paraId="63023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170" w:hRule="atLeast"/>
          <w:jc w:val="center"/>
        </w:trPr>
        <w:tc>
          <w:tcPr>
            <w:tcW w:w="798" w:type="dxa"/>
            <w:shd w:val="clear" w:color="auto" w:fill="FFFFFF"/>
            <w:tcMar>
              <w:top w:w="120" w:type="dxa"/>
              <w:left w:w="0" w:type="dxa"/>
              <w:bottom w:w="120" w:type="dxa"/>
              <w:right w:w="120" w:type="dxa"/>
            </w:tcMar>
            <w:vAlign w:val="center"/>
          </w:tcPr>
          <w:p w14:paraId="6F278F0A">
            <w:pPr>
              <w:keepNext w:val="0"/>
              <w:keepLines w:val="0"/>
              <w:pageBreakBefore w:val="0"/>
              <w:wordWrap/>
              <w:overflowPunct/>
              <w:topLinePunct w:val="0"/>
              <w:bidi w:val="0"/>
              <w:adjustRightInd w:val="0"/>
              <w:snapToGrid w:val="0"/>
              <w:spacing w:line="240" w:lineRule="auto"/>
              <w:jc w:val="center"/>
              <w:rPr>
                <w:rFonts w:hint="default" w:ascii="方正书宋简体" w:hAnsi="楷体" w:eastAsia="方正书宋简体" w:cs="MS Gothic"/>
                <w:color w:val="000000"/>
                <w:szCs w:val="21"/>
                <w:lang w:val="en-US" w:eastAsia="zh-CN"/>
              </w:rPr>
            </w:pPr>
            <w:r>
              <w:rPr>
                <w:rFonts w:hint="default" w:ascii="方正书宋简体" w:hAnsi="楷体" w:eastAsia="方正书宋简体" w:cs="MS Gothic"/>
                <w:color w:val="000000"/>
                <w:szCs w:val="21"/>
                <w:lang w:val="en-US" w:eastAsia="zh-CN"/>
              </w:rPr>
              <w:t>3</w:t>
            </w:r>
          </w:p>
        </w:tc>
        <w:tc>
          <w:tcPr>
            <w:tcW w:w="3480" w:type="dxa"/>
            <w:shd w:val="clear" w:color="auto" w:fill="FFFFFF"/>
            <w:tcMar>
              <w:top w:w="120" w:type="dxa"/>
              <w:left w:w="120" w:type="dxa"/>
              <w:bottom w:w="120" w:type="dxa"/>
              <w:right w:w="120" w:type="dxa"/>
            </w:tcMar>
            <w:vAlign w:val="center"/>
          </w:tcPr>
          <w:p w14:paraId="6666145A">
            <w:pPr>
              <w:keepNext w:val="0"/>
              <w:keepLines w:val="0"/>
              <w:pageBreakBefore w:val="0"/>
              <w:wordWrap/>
              <w:overflowPunct/>
              <w:topLinePunct w:val="0"/>
              <w:bidi w:val="0"/>
              <w:adjustRightInd w:val="0"/>
              <w:snapToGrid w:val="0"/>
              <w:spacing w:line="240" w:lineRule="auto"/>
              <w:jc w:val="left"/>
              <w:rPr>
                <w:rFonts w:hint="default" w:ascii="方正书宋简体" w:hAnsi="楷体" w:eastAsia="方正书宋简体" w:cs="MS Gothic"/>
                <w:color w:val="000000"/>
                <w:szCs w:val="21"/>
                <w:lang w:val="en-US" w:eastAsia="zh-CN"/>
              </w:rPr>
            </w:pPr>
            <w:r>
              <w:rPr>
                <w:rFonts w:hint="default" w:ascii="方正书宋简体" w:hAnsi="楷体" w:eastAsia="方正书宋简体" w:cs="MS Gothic"/>
                <w:color w:val="000000"/>
                <w:szCs w:val="21"/>
                <w:lang w:val="en-US" w:eastAsia="zh-CN"/>
              </w:rPr>
              <w:t>基于技术安全规范的电气设备安装</w:t>
            </w:r>
          </w:p>
        </w:tc>
        <w:tc>
          <w:tcPr>
            <w:tcW w:w="1296" w:type="dxa"/>
            <w:shd w:val="clear" w:color="auto" w:fill="FFFFFF"/>
            <w:tcMar>
              <w:top w:w="120" w:type="dxa"/>
              <w:left w:w="120" w:type="dxa"/>
              <w:bottom w:w="120" w:type="dxa"/>
              <w:right w:w="120" w:type="dxa"/>
            </w:tcMar>
            <w:vAlign w:val="center"/>
          </w:tcPr>
          <w:p w14:paraId="6804601C">
            <w:pPr>
              <w:keepNext w:val="0"/>
              <w:keepLines w:val="0"/>
              <w:pageBreakBefore w:val="0"/>
              <w:wordWrap/>
              <w:overflowPunct/>
              <w:topLinePunct w:val="0"/>
              <w:bidi w:val="0"/>
              <w:adjustRightInd w:val="0"/>
              <w:snapToGrid w:val="0"/>
              <w:spacing w:line="240" w:lineRule="auto"/>
              <w:jc w:val="center"/>
              <w:rPr>
                <w:rFonts w:hint="default" w:ascii="方正书宋简体" w:hAnsi="楷体" w:eastAsia="方正书宋简体" w:cs="MS Gothic"/>
                <w:color w:val="000000"/>
                <w:szCs w:val="21"/>
                <w:lang w:val="en-US" w:eastAsia="zh-CN"/>
              </w:rPr>
            </w:pPr>
            <w:r>
              <w:rPr>
                <w:rFonts w:hint="default" w:ascii="方正书宋简体" w:hAnsi="楷体" w:eastAsia="方正书宋简体" w:cs="MS Gothic"/>
                <w:color w:val="000000"/>
                <w:szCs w:val="21"/>
                <w:lang w:val="en-US" w:eastAsia="zh-CN"/>
              </w:rPr>
              <w:t>10</w:t>
            </w:r>
          </w:p>
        </w:tc>
        <w:tc>
          <w:tcPr>
            <w:tcW w:w="3585" w:type="dxa"/>
            <w:shd w:val="clear" w:color="auto" w:fill="FFFFFF"/>
            <w:tcMar>
              <w:top w:w="120" w:type="dxa"/>
              <w:left w:w="120" w:type="dxa"/>
              <w:bottom w:w="120" w:type="dxa"/>
              <w:right w:w="120" w:type="dxa"/>
            </w:tcMar>
            <w:vAlign w:val="center"/>
          </w:tcPr>
          <w:p w14:paraId="1EC936FF">
            <w:pPr>
              <w:keepNext w:val="0"/>
              <w:keepLines w:val="0"/>
              <w:pageBreakBefore w:val="0"/>
              <w:wordWrap/>
              <w:overflowPunct/>
              <w:topLinePunct w:val="0"/>
              <w:bidi w:val="0"/>
              <w:adjustRightInd w:val="0"/>
              <w:snapToGrid w:val="0"/>
              <w:spacing w:line="240" w:lineRule="auto"/>
              <w:jc w:val="left"/>
              <w:rPr>
                <w:rFonts w:hint="default" w:ascii="方正书宋简体" w:hAnsi="楷体" w:eastAsia="方正书宋简体" w:cs="MS Gothic"/>
                <w:color w:val="000000"/>
                <w:szCs w:val="21"/>
                <w:lang w:val="en-US" w:eastAsia="zh-CN"/>
              </w:rPr>
            </w:pPr>
            <w:r>
              <w:rPr>
                <w:rFonts w:hint="default" w:ascii="方正书宋简体" w:hAnsi="楷体" w:eastAsia="方正书宋简体" w:cs="MS Gothic"/>
                <w:color w:val="000000"/>
                <w:szCs w:val="21"/>
                <w:lang w:val="en-US" w:eastAsia="zh-CN"/>
              </w:rPr>
              <w:t>装配与拆卸的规划</w:t>
            </w:r>
          </w:p>
        </w:tc>
      </w:tr>
      <w:tr w14:paraId="4D384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70" w:hRule="atLeast"/>
          <w:jc w:val="center"/>
        </w:trPr>
        <w:tc>
          <w:tcPr>
            <w:tcW w:w="798" w:type="dxa"/>
            <w:shd w:val="clear" w:color="auto" w:fill="FFFFFF"/>
            <w:tcMar>
              <w:top w:w="120" w:type="dxa"/>
              <w:left w:w="0" w:type="dxa"/>
              <w:bottom w:w="120" w:type="dxa"/>
              <w:right w:w="120" w:type="dxa"/>
            </w:tcMar>
            <w:vAlign w:val="center"/>
          </w:tcPr>
          <w:p w14:paraId="39438B8B">
            <w:pPr>
              <w:keepNext w:val="0"/>
              <w:keepLines w:val="0"/>
              <w:pageBreakBefore w:val="0"/>
              <w:wordWrap/>
              <w:overflowPunct/>
              <w:topLinePunct w:val="0"/>
              <w:bidi w:val="0"/>
              <w:adjustRightInd w:val="0"/>
              <w:snapToGrid w:val="0"/>
              <w:spacing w:line="240" w:lineRule="auto"/>
              <w:jc w:val="center"/>
              <w:rPr>
                <w:rFonts w:hint="default" w:ascii="方正书宋简体" w:hAnsi="楷体" w:eastAsia="方正书宋简体" w:cs="MS Gothic"/>
                <w:color w:val="000000"/>
                <w:szCs w:val="21"/>
                <w:lang w:val="en-US" w:eastAsia="zh-CN"/>
              </w:rPr>
            </w:pPr>
            <w:r>
              <w:rPr>
                <w:rFonts w:hint="default" w:ascii="方正书宋简体" w:hAnsi="楷体" w:eastAsia="方正书宋简体" w:cs="MS Gothic"/>
                <w:color w:val="000000"/>
                <w:szCs w:val="21"/>
                <w:lang w:val="en-US" w:eastAsia="zh-CN"/>
              </w:rPr>
              <w:t>4</w:t>
            </w:r>
          </w:p>
        </w:tc>
        <w:tc>
          <w:tcPr>
            <w:tcW w:w="3480" w:type="dxa"/>
            <w:shd w:val="clear" w:color="auto" w:fill="FFFFFF"/>
            <w:tcMar>
              <w:top w:w="120" w:type="dxa"/>
              <w:left w:w="120" w:type="dxa"/>
              <w:bottom w:w="120" w:type="dxa"/>
              <w:right w:w="120" w:type="dxa"/>
            </w:tcMar>
            <w:vAlign w:val="center"/>
          </w:tcPr>
          <w:p w14:paraId="65A1F731">
            <w:pPr>
              <w:keepNext w:val="0"/>
              <w:keepLines w:val="0"/>
              <w:pageBreakBefore w:val="0"/>
              <w:wordWrap/>
              <w:overflowPunct/>
              <w:topLinePunct w:val="0"/>
              <w:bidi w:val="0"/>
              <w:adjustRightInd w:val="0"/>
              <w:snapToGrid w:val="0"/>
              <w:spacing w:line="240" w:lineRule="auto"/>
              <w:jc w:val="left"/>
              <w:rPr>
                <w:rFonts w:hint="default" w:ascii="方正书宋简体" w:hAnsi="楷体" w:eastAsia="方正书宋简体" w:cs="MS Gothic"/>
                <w:color w:val="000000"/>
                <w:szCs w:val="21"/>
                <w:lang w:val="en-US" w:eastAsia="zh-CN"/>
              </w:rPr>
            </w:pPr>
            <w:r>
              <w:rPr>
                <w:rFonts w:hint="default" w:ascii="方正书宋简体" w:hAnsi="楷体" w:eastAsia="方正书宋简体" w:cs="MS Gothic"/>
                <w:color w:val="000000"/>
                <w:szCs w:val="21"/>
                <w:lang w:val="en-US" w:eastAsia="zh-CN"/>
              </w:rPr>
              <w:t>气动系统的搭建、控制与检测</w:t>
            </w:r>
          </w:p>
        </w:tc>
        <w:tc>
          <w:tcPr>
            <w:tcW w:w="1296" w:type="dxa"/>
            <w:shd w:val="clear" w:color="auto" w:fill="FFFFFF"/>
            <w:tcMar>
              <w:top w:w="120" w:type="dxa"/>
              <w:left w:w="120" w:type="dxa"/>
              <w:bottom w:w="120" w:type="dxa"/>
              <w:right w:w="120" w:type="dxa"/>
            </w:tcMar>
            <w:vAlign w:val="center"/>
          </w:tcPr>
          <w:p w14:paraId="45E902A9">
            <w:pPr>
              <w:keepNext w:val="0"/>
              <w:keepLines w:val="0"/>
              <w:pageBreakBefore w:val="0"/>
              <w:wordWrap/>
              <w:overflowPunct/>
              <w:topLinePunct w:val="0"/>
              <w:bidi w:val="0"/>
              <w:adjustRightInd w:val="0"/>
              <w:snapToGrid w:val="0"/>
              <w:spacing w:line="240" w:lineRule="auto"/>
              <w:jc w:val="center"/>
              <w:rPr>
                <w:rFonts w:hint="default" w:ascii="方正书宋简体" w:hAnsi="楷体" w:eastAsia="方正书宋简体" w:cs="MS Gothic"/>
                <w:color w:val="000000"/>
                <w:szCs w:val="21"/>
                <w:lang w:val="en-US" w:eastAsia="zh-CN"/>
              </w:rPr>
            </w:pPr>
            <w:r>
              <w:rPr>
                <w:rFonts w:hint="default" w:ascii="方正书宋简体" w:hAnsi="楷体" w:eastAsia="方正书宋简体" w:cs="MS Gothic"/>
                <w:color w:val="000000"/>
                <w:szCs w:val="21"/>
                <w:lang w:val="en-US" w:eastAsia="zh-CN"/>
              </w:rPr>
              <w:t>11</w:t>
            </w:r>
          </w:p>
        </w:tc>
        <w:tc>
          <w:tcPr>
            <w:tcW w:w="3585" w:type="dxa"/>
            <w:shd w:val="clear" w:color="auto" w:fill="FFFFFF"/>
            <w:tcMar>
              <w:top w:w="120" w:type="dxa"/>
              <w:left w:w="120" w:type="dxa"/>
              <w:bottom w:w="120" w:type="dxa"/>
              <w:right w:w="120" w:type="dxa"/>
            </w:tcMar>
            <w:vAlign w:val="center"/>
          </w:tcPr>
          <w:p w14:paraId="3D9B78C4">
            <w:pPr>
              <w:keepNext w:val="0"/>
              <w:keepLines w:val="0"/>
              <w:pageBreakBefore w:val="0"/>
              <w:wordWrap/>
              <w:overflowPunct/>
              <w:topLinePunct w:val="0"/>
              <w:bidi w:val="0"/>
              <w:adjustRightInd w:val="0"/>
              <w:snapToGrid w:val="0"/>
              <w:spacing w:line="240" w:lineRule="auto"/>
              <w:jc w:val="left"/>
              <w:rPr>
                <w:rFonts w:hint="default" w:ascii="方正书宋简体" w:hAnsi="楷体" w:eastAsia="方正书宋简体" w:cs="MS Gothic"/>
                <w:color w:val="000000"/>
                <w:szCs w:val="21"/>
                <w:lang w:val="en-US" w:eastAsia="zh-CN"/>
              </w:rPr>
            </w:pPr>
            <w:r>
              <w:rPr>
                <w:rFonts w:hint="default" w:ascii="方正书宋简体" w:hAnsi="楷体" w:eastAsia="方正书宋简体" w:cs="MS Gothic"/>
                <w:color w:val="000000"/>
                <w:szCs w:val="21"/>
                <w:lang w:val="en-US" w:eastAsia="zh-CN"/>
              </w:rPr>
              <w:t>机电一体化系统的故障排除</w:t>
            </w:r>
          </w:p>
        </w:tc>
      </w:tr>
      <w:tr w14:paraId="03904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170" w:hRule="atLeast"/>
          <w:jc w:val="center"/>
        </w:trPr>
        <w:tc>
          <w:tcPr>
            <w:tcW w:w="798" w:type="dxa"/>
            <w:shd w:val="clear" w:color="auto" w:fill="FFFFFF"/>
            <w:tcMar>
              <w:top w:w="120" w:type="dxa"/>
              <w:left w:w="0" w:type="dxa"/>
              <w:bottom w:w="120" w:type="dxa"/>
              <w:right w:w="120" w:type="dxa"/>
            </w:tcMar>
            <w:vAlign w:val="center"/>
          </w:tcPr>
          <w:p w14:paraId="103655DC">
            <w:pPr>
              <w:keepNext w:val="0"/>
              <w:keepLines w:val="0"/>
              <w:pageBreakBefore w:val="0"/>
              <w:wordWrap/>
              <w:overflowPunct/>
              <w:topLinePunct w:val="0"/>
              <w:bidi w:val="0"/>
              <w:adjustRightInd w:val="0"/>
              <w:snapToGrid w:val="0"/>
              <w:spacing w:line="240" w:lineRule="auto"/>
              <w:jc w:val="center"/>
              <w:rPr>
                <w:rFonts w:hint="default" w:ascii="方正书宋简体" w:hAnsi="楷体" w:eastAsia="方正书宋简体" w:cs="MS Gothic"/>
                <w:color w:val="000000"/>
                <w:szCs w:val="21"/>
                <w:lang w:val="en-US" w:eastAsia="zh-CN"/>
              </w:rPr>
            </w:pPr>
            <w:r>
              <w:rPr>
                <w:rFonts w:hint="default" w:ascii="方正书宋简体" w:hAnsi="楷体" w:eastAsia="方正书宋简体" w:cs="MS Gothic"/>
                <w:color w:val="000000"/>
                <w:szCs w:val="21"/>
                <w:lang w:val="en-US" w:eastAsia="zh-CN"/>
              </w:rPr>
              <w:t>5</w:t>
            </w:r>
          </w:p>
        </w:tc>
        <w:tc>
          <w:tcPr>
            <w:tcW w:w="3480" w:type="dxa"/>
            <w:shd w:val="clear" w:color="auto" w:fill="FFFFFF"/>
            <w:tcMar>
              <w:top w:w="120" w:type="dxa"/>
              <w:left w:w="120" w:type="dxa"/>
              <w:bottom w:w="120" w:type="dxa"/>
              <w:right w:w="120" w:type="dxa"/>
            </w:tcMar>
            <w:vAlign w:val="center"/>
          </w:tcPr>
          <w:p w14:paraId="613FDFC7">
            <w:pPr>
              <w:keepNext w:val="0"/>
              <w:keepLines w:val="0"/>
              <w:pageBreakBefore w:val="0"/>
              <w:wordWrap/>
              <w:overflowPunct/>
              <w:topLinePunct w:val="0"/>
              <w:bidi w:val="0"/>
              <w:adjustRightInd w:val="0"/>
              <w:snapToGrid w:val="0"/>
              <w:spacing w:line="240" w:lineRule="auto"/>
              <w:jc w:val="left"/>
              <w:rPr>
                <w:rFonts w:hint="default" w:ascii="方正书宋简体" w:hAnsi="楷体" w:eastAsia="方正书宋简体" w:cs="MS Gothic"/>
                <w:color w:val="000000"/>
                <w:szCs w:val="21"/>
                <w:lang w:val="en-US" w:eastAsia="zh-CN"/>
              </w:rPr>
            </w:pPr>
            <w:r>
              <w:rPr>
                <w:rFonts w:hint="default" w:ascii="方正书宋简体" w:hAnsi="楷体" w:eastAsia="方正书宋简体" w:cs="MS Gothic"/>
                <w:color w:val="000000"/>
                <w:szCs w:val="21"/>
                <w:lang w:val="en-US" w:eastAsia="zh-CN"/>
              </w:rPr>
              <w:t>数据处理系统的应用</w:t>
            </w:r>
          </w:p>
        </w:tc>
        <w:tc>
          <w:tcPr>
            <w:tcW w:w="1296" w:type="dxa"/>
            <w:shd w:val="clear" w:color="auto" w:fill="FFFFFF"/>
            <w:tcMar>
              <w:top w:w="120" w:type="dxa"/>
              <w:left w:w="120" w:type="dxa"/>
              <w:bottom w:w="120" w:type="dxa"/>
              <w:right w:w="120" w:type="dxa"/>
            </w:tcMar>
            <w:vAlign w:val="center"/>
          </w:tcPr>
          <w:p w14:paraId="1FB65817">
            <w:pPr>
              <w:keepNext w:val="0"/>
              <w:keepLines w:val="0"/>
              <w:pageBreakBefore w:val="0"/>
              <w:wordWrap/>
              <w:overflowPunct/>
              <w:topLinePunct w:val="0"/>
              <w:bidi w:val="0"/>
              <w:adjustRightInd w:val="0"/>
              <w:snapToGrid w:val="0"/>
              <w:spacing w:line="240" w:lineRule="auto"/>
              <w:jc w:val="center"/>
              <w:rPr>
                <w:rFonts w:hint="default" w:ascii="方正书宋简体" w:hAnsi="楷体" w:eastAsia="方正书宋简体" w:cs="MS Gothic"/>
                <w:color w:val="000000"/>
                <w:szCs w:val="21"/>
                <w:lang w:val="en-US" w:eastAsia="zh-CN"/>
              </w:rPr>
            </w:pPr>
            <w:r>
              <w:rPr>
                <w:rFonts w:hint="default" w:ascii="方正书宋简体" w:hAnsi="楷体" w:eastAsia="方正书宋简体" w:cs="MS Gothic"/>
                <w:color w:val="000000"/>
                <w:szCs w:val="21"/>
                <w:lang w:val="en-US" w:eastAsia="zh-CN"/>
              </w:rPr>
              <w:t>12</w:t>
            </w:r>
          </w:p>
        </w:tc>
        <w:tc>
          <w:tcPr>
            <w:tcW w:w="3585" w:type="dxa"/>
            <w:shd w:val="clear" w:color="auto" w:fill="FFFFFF"/>
            <w:tcMar>
              <w:top w:w="120" w:type="dxa"/>
              <w:left w:w="120" w:type="dxa"/>
              <w:bottom w:w="120" w:type="dxa"/>
              <w:right w:w="120" w:type="dxa"/>
            </w:tcMar>
            <w:vAlign w:val="center"/>
          </w:tcPr>
          <w:p w14:paraId="4C58F6A4">
            <w:pPr>
              <w:keepNext w:val="0"/>
              <w:keepLines w:val="0"/>
              <w:pageBreakBefore w:val="0"/>
              <w:wordWrap/>
              <w:overflowPunct/>
              <w:topLinePunct w:val="0"/>
              <w:bidi w:val="0"/>
              <w:adjustRightInd w:val="0"/>
              <w:snapToGrid w:val="0"/>
              <w:spacing w:line="240" w:lineRule="auto"/>
              <w:jc w:val="left"/>
              <w:rPr>
                <w:rFonts w:hint="default" w:ascii="方正书宋简体" w:hAnsi="楷体" w:eastAsia="方正书宋简体" w:cs="MS Gothic"/>
                <w:color w:val="000000"/>
                <w:szCs w:val="21"/>
                <w:lang w:val="en-US" w:eastAsia="zh-CN"/>
              </w:rPr>
            </w:pPr>
            <w:r>
              <w:rPr>
                <w:rFonts w:hint="default" w:ascii="方正书宋简体" w:hAnsi="楷体" w:eastAsia="方正书宋简体" w:cs="MS Gothic"/>
                <w:color w:val="000000"/>
                <w:szCs w:val="21"/>
                <w:lang w:val="en-US" w:eastAsia="zh-CN"/>
              </w:rPr>
              <w:t>机电一体化系统预防性维护</w:t>
            </w:r>
          </w:p>
        </w:tc>
      </w:tr>
      <w:tr w14:paraId="3D4DE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70" w:hRule="atLeast"/>
          <w:jc w:val="center"/>
        </w:trPr>
        <w:tc>
          <w:tcPr>
            <w:tcW w:w="798" w:type="dxa"/>
            <w:shd w:val="clear" w:color="auto" w:fill="FFFFFF"/>
            <w:tcMar>
              <w:top w:w="120" w:type="dxa"/>
              <w:left w:w="0" w:type="dxa"/>
              <w:bottom w:w="120" w:type="dxa"/>
              <w:right w:w="120" w:type="dxa"/>
            </w:tcMar>
            <w:vAlign w:val="center"/>
          </w:tcPr>
          <w:p w14:paraId="11D1CCC5">
            <w:pPr>
              <w:keepNext w:val="0"/>
              <w:keepLines w:val="0"/>
              <w:pageBreakBefore w:val="0"/>
              <w:wordWrap/>
              <w:overflowPunct/>
              <w:topLinePunct w:val="0"/>
              <w:bidi w:val="0"/>
              <w:adjustRightInd w:val="0"/>
              <w:snapToGrid w:val="0"/>
              <w:spacing w:line="240" w:lineRule="auto"/>
              <w:jc w:val="center"/>
              <w:rPr>
                <w:rFonts w:hint="default" w:ascii="方正书宋简体" w:hAnsi="楷体" w:eastAsia="方正书宋简体" w:cs="MS Gothic"/>
                <w:color w:val="000000"/>
                <w:szCs w:val="21"/>
                <w:lang w:val="en-US" w:eastAsia="zh-CN"/>
              </w:rPr>
            </w:pPr>
            <w:r>
              <w:rPr>
                <w:rFonts w:hint="default" w:ascii="方正书宋简体" w:hAnsi="楷体" w:eastAsia="方正书宋简体" w:cs="MS Gothic"/>
                <w:color w:val="000000"/>
                <w:szCs w:val="21"/>
                <w:lang w:val="en-US" w:eastAsia="zh-CN"/>
              </w:rPr>
              <w:t>6</w:t>
            </w:r>
          </w:p>
        </w:tc>
        <w:tc>
          <w:tcPr>
            <w:tcW w:w="3480" w:type="dxa"/>
            <w:shd w:val="clear" w:color="auto" w:fill="FFFFFF"/>
            <w:tcMar>
              <w:top w:w="120" w:type="dxa"/>
              <w:left w:w="120" w:type="dxa"/>
              <w:bottom w:w="120" w:type="dxa"/>
              <w:right w:w="120" w:type="dxa"/>
            </w:tcMar>
            <w:vAlign w:val="center"/>
          </w:tcPr>
          <w:p w14:paraId="013B9F94">
            <w:pPr>
              <w:keepNext w:val="0"/>
              <w:keepLines w:val="0"/>
              <w:pageBreakBefore w:val="0"/>
              <w:wordWrap/>
              <w:overflowPunct/>
              <w:topLinePunct w:val="0"/>
              <w:bidi w:val="0"/>
              <w:adjustRightInd w:val="0"/>
              <w:snapToGrid w:val="0"/>
              <w:spacing w:line="240" w:lineRule="auto"/>
              <w:jc w:val="left"/>
              <w:rPr>
                <w:rFonts w:hint="default" w:ascii="方正书宋简体" w:hAnsi="楷体" w:eastAsia="方正书宋简体" w:cs="MS Gothic"/>
                <w:color w:val="000000"/>
                <w:szCs w:val="21"/>
                <w:lang w:val="en-US" w:eastAsia="zh-CN"/>
              </w:rPr>
            </w:pPr>
            <w:r>
              <w:rPr>
                <w:rFonts w:hint="default" w:ascii="方正书宋简体" w:hAnsi="楷体" w:eastAsia="方正书宋简体" w:cs="MS Gothic"/>
                <w:color w:val="000000"/>
                <w:szCs w:val="21"/>
                <w:lang w:val="en-US" w:eastAsia="zh-CN"/>
              </w:rPr>
              <w:t>工作过程的计划和组织</w:t>
            </w:r>
          </w:p>
        </w:tc>
        <w:tc>
          <w:tcPr>
            <w:tcW w:w="1296" w:type="dxa"/>
            <w:shd w:val="clear" w:color="auto" w:fill="FFFFFF"/>
            <w:tcMar>
              <w:top w:w="120" w:type="dxa"/>
              <w:left w:w="120" w:type="dxa"/>
              <w:bottom w:w="120" w:type="dxa"/>
              <w:right w:w="120" w:type="dxa"/>
            </w:tcMar>
            <w:vAlign w:val="center"/>
          </w:tcPr>
          <w:p w14:paraId="45FA4E60">
            <w:pPr>
              <w:keepNext w:val="0"/>
              <w:keepLines w:val="0"/>
              <w:pageBreakBefore w:val="0"/>
              <w:wordWrap/>
              <w:overflowPunct/>
              <w:topLinePunct w:val="0"/>
              <w:bidi w:val="0"/>
              <w:adjustRightInd w:val="0"/>
              <w:snapToGrid w:val="0"/>
              <w:spacing w:line="240" w:lineRule="auto"/>
              <w:jc w:val="center"/>
              <w:rPr>
                <w:rFonts w:hint="default" w:ascii="方正书宋简体" w:hAnsi="楷体" w:eastAsia="方正书宋简体" w:cs="MS Gothic"/>
                <w:color w:val="000000"/>
                <w:szCs w:val="21"/>
                <w:lang w:val="en-US" w:eastAsia="zh-CN"/>
              </w:rPr>
            </w:pPr>
            <w:r>
              <w:rPr>
                <w:rFonts w:hint="default" w:ascii="方正书宋简体" w:hAnsi="楷体" w:eastAsia="方正书宋简体" w:cs="MS Gothic"/>
                <w:color w:val="000000"/>
                <w:szCs w:val="21"/>
                <w:lang w:val="en-US" w:eastAsia="zh-CN"/>
              </w:rPr>
              <w:t>13</w:t>
            </w:r>
          </w:p>
        </w:tc>
        <w:tc>
          <w:tcPr>
            <w:tcW w:w="3585" w:type="dxa"/>
            <w:shd w:val="clear" w:color="auto" w:fill="FFFFFF"/>
            <w:tcMar>
              <w:top w:w="120" w:type="dxa"/>
              <w:left w:w="120" w:type="dxa"/>
              <w:bottom w:w="120" w:type="dxa"/>
              <w:right w:w="120" w:type="dxa"/>
            </w:tcMar>
            <w:vAlign w:val="center"/>
          </w:tcPr>
          <w:p w14:paraId="7C83A5B2">
            <w:pPr>
              <w:keepNext w:val="0"/>
              <w:keepLines w:val="0"/>
              <w:pageBreakBefore w:val="0"/>
              <w:wordWrap/>
              <w:overflowPunct/>
              <w:topLinePunct w:val="0"/>
              <w:bidi w:val="0"/>
              <w:adjustRightInd w:val="0"/>
              <w:snapToGrid w:val="0"/>
              <w:spacing w:line="240" w:lineRule="auto"/>
              <w:jc w:val="left"/>
              <w:rPr>
                <w:rFonts w:hint="default" w:ascii="方正书宋简体" w:hAnsi="楷体" w:eastAsia="方正书宋简体" w:cs="MS Gothic"/>
                <w:color w:val="000000"/>
                <w:szCs w:val="21"/>
                <w:lang w:val="en-US" w:eastAsia="zh-CN"/>
              </w:rPr>
            </w:pPr>
            <w:r>
              <w:rPr>
                <w:rFonts w:hint="default" w:ascii="方正书宋简体" w:hAnsi="楷体" w:eastAsia="方正书宋简体" w:cs="MS Gothic"/>
                <w:color w:val="000000"/>
                <w:szCs w:val="21"/>
                <w:lang w:val="en-US" w:eastAsia="zh-CN"/>
              </w:rPr>
              <w:t>机电一体化系统的移交</w:t>
            </w:r>
          </w:p>
        </w:tc>
      </w:tr>
      <w:tr w14:paraId="35C37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170" w:hRule="atLeast"/>
          <w:jc w:val="center"/>
        </w:trPr>
        <w:tc>
          <w:tcPr>
            <w:tcW w:w="798" w:type="dxa"/>
            <w:shd w:val="clear" w:color="auto" w:fill="FFFFFF"/>
            <w:tcMar>
              <w:top w:w="120" w:type="dxa"/>
              <w:left w:w="0" w:type="dxa"/>
              <w:bottom w:w="120" w:type="dxa"/>
              <w:right w:w="120" w:type="dxa"/>
            </w:tcMar>
            <w:vAlign w:val="center"/>
          </w:tcPr>
          <w:p w14:paraId="487BB6DB">
            <w:pPr>
              <w:keepNext w:val="0"/>
              <w:keepLines w:val="0"/>
              <w:pageBreakBefore w:val="0"/>
              <w:wordWrap/>
              <w:overflowPunct/>
              <w:topLinePunct w:val="0"/>
              <w:bidi w:val="0"/>
              <w:adjustRightInd w:val="0"/>
              <w:snapToGrid w:val="0"/>
              <w:spacing w:line="240" w:lineRule="auto"/>
              <w:jc w:val="center"/>
              <w:rPr>
                <w:rFonts w:hint="default" w:ascii="方正书宋简体" w:hAnsi="楷体" w:eastAsia="方正书宋简体" w:cs="MS Gothic"/>
                <w:color w:val="000000"/>
                <w:szCs w:val="21"/>
                <w:lang w:val="en-US" w:eastAsia="zh-CN"/>
              </w:rPr>
            </w:pPr>
            <w:r>
              <w:rPr>
                <w:rFonts w:hint="default" w:ascii="方正书宋简体" w:hAnsi="楷体" w:eastAsia="方正书宋简体" w:cs="MS Gothic"/>
                <w:color w:val="000000"/>
                <w:szCs w:val="21"/>
                <w:lang w:val="en-US" w:eastAsia="zh-CN"/>
              </w:rPr>
              <w:t>7</w:t>
            </w:r>
          </w:p>
        </w:tc>
        <w:tc>
          <w:tcPr>
            <w:tcW w:w="3480" w:type="dxa"/>
            <w:shd w:val="clear" w:color="auto" w:fill="FFFFFF"/>
            <w:tcMar>
              <w:top w:w="120" w:type="dxa"/>
              <w:left w:w="120" w:type="dxa"/>
              <w:bottom w:w="120" w:type="dxa"/>
              <w:right w:w="120" w:type="dxa"/>
            </w:tcMar>
            <w:vAlign w:val="center"/>
          </w:tcPr>
          <w:p w14:paraId="446A84E2">
            <w:pPr>
              <w:keepNext w:val="0"/>
              <w:keepLines w:val="0"/>
              <w:pageBreakBefore w:val="0"/>
              <w:wordWrap/>
              <w:overflowPunct/>
              <w:topLinePunct w:val="0"/>
              <w:bidi w:val="0"/>
              <w:adjustRightInd w:val="0"/>
              <w:snapToGrid w:val="0"/>
              <w:spacing w:line="240" w:lineRule="auto"/>
              <w:jc w:val="left"/>
              <w:rPr>
                <w:rFonts w:hint="default" w:ascii="方正书宋简体" w:hAnsi="楷体" w:eastAsia="方正书宋简体" w:cs="MS Gothic"/>
                <w:color w:val="000000"/>
                <w:szCs w:val="21"/>
                <w:lang w:val="en-US" w:eastAsia="zh-CN"/>
              </w:rPr>
            </w:pPr>
            <w:r>
              <w:rPr>
                <w:rFonts w:hint="default" w:ascii="方正书宋简体" w:hAnsi="楷体" w:eastAsia="方正书宋简体" w:cs="MS Gothic"/>
                <w:color w:val="000000"/>
                <w:szCs w:val="21"/>
                <w:lang w:val="en-US" w:eastAsia="zh-CN"/>
              </w:rPr>
              <w:t>机电一体化子系统的搭建</w:t>
            </w:r>
          </w:p>
        </w:tc>
        <w:tc>
          <w:tcPr>
            <w:tcW w:w="1296" w:type="dxa"/>
            <w:shd w:val="clear" w:color="auto" w:fill="FFFFFF"/>
            <w:tcMar>
              <w:top w:w="120" w:type="dxa"/>
              <w:left w:w="120" w:type="dxa"/>
              <w:bottom w:w="120" w:type="dxa"/>
              <w:right w:w="120" w:type="dxa"/>
            </w:tcMar>
            <w:vAlign w:val="center"/>
          </w:tcPr>
          <w:p w14:paraId="188306D2">
            <w:pPr>
              <w:keepNext w:val="0"/>
              <w:keepLines w:val="0"/>
              <w:pageBreakBefore w:val="0"/>
              <w:wordWrap/>
              <w:overflowPunct/>
              <w:topLinePunct w:val="0"/>
              <w:bidi w:val="0"/>
              <w:adjustRightInd w:val="0"/>
              <w:snapToGrid w:val="0"/>
              <w:spacing w:line="240" w:lineRule="auto"/>
              <w:jc w:val="center"/>
              <w:rPr>
                <w:rFonts w:hint="default" w:ascii="方正书宋简体" w:hAnsi="楷体" w:eastAsia="方正书宋简体" w:cs="MS Gothic"/>
                <w:color w:val="000000"/>
                <w:szCs w:val="21"/>
                <w:lang w:val="en-US" w:eastAsia="zh-CN"/>
              </w:rPr>
            </w:pPr>
          </w:p>
        </w:tc>
        <w:tc>
          <w:tcPr>
            <w:tcW w:w="3585" w:type="dxa"/>
            <w:shd w:val="clear" w:color="auto" w:fill="FFFFFF"/>
            <w:tcMar>
              <w:top w:w="120" w:type="dxa"/>
              <w:left w:w="120" w:type="dxa"/>
              <w:bottom w:w="120" w:type="dxa"/>
              <w:right w:w="120" w:type="dxa"/>
            </w:tcMar>
            <w:vAlign w:val="center"/>
          </w:tcPr>
          <w:p w14:paraId="17CF22DC">
            <w:pPr>
              <w:keepNext w:val="0"/>
              <w:keepLines w:val="0"/>
              <w:pageBreakBefore w:val="0"/>
              <w:wordWrap/>
              <w:overflowPunct/>
              <w:topLinePunct w:val="0"/>
              <w:bidi w:val="0"/>
              <w:adjustRightInd w:val="0"/>
              <w:snapToGrid w:val="0"/>
              <w:spacing w:line="240" w:lineRule="auto"/>
              <w:jc w:val="left"/>
              <w:rPr>
                <w:rFonts w:hint="default" w:ascii="方正书宋简体" w:hAnsi="楷体" w:eastAsia="方正书宋简体" w:cs="MS Gothic"/>
                <w:color w:val="000000"/>
                <w:szCs w:val="21"/>
                <w:lang w:val="en-US" w:eastAsia="zh-CN"/>
              </w:rPr>
            </w:pPr>
          </w:p>
        </w:tc>
      </w:tr>
    </w:tbl>
    <w:p w14:paraId="7B1BE801">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sectPr>
          <w:headerReference r:id="rId3" w:type="default"/>
          <w:footerReference r:id="rId5" w:type="default"/>
          <w:headerReference r:id="rId4" w:type="even"/>
          <w:footerReference r:id="rId6" w:type="even"/>
          <w:pgSz w:w="11906" w:h="16838"/>
          <w:pgMar w:top="1134" w:right="1247" w:bottom="1701" w:left="1247" w:header="680" w:footer="1446" w:gutter="0"/>
          <w:pgNumType w:fmt="decimal" w:start="1"/>
          <w:cols w:space="720" w:num="1"/>
          <w:docGrid w:linePitch="312" w:charSpace="0"/>
        </w:sectPr>
      </w:pPr>
    </w:p>
    <w:p w14:paraId="36E03F6C">
      <w:pPr>
        <w:keepNext w:val="0"/>
        <w:keepLines w:val="0"/>
        <w:pageBreakBefore w:val="0"/>
        <w:widowControl/>
        <w:kinsoku/>
        <w:wordWrap/>
        <w:overflowPunct/>
        <w:topLinePunct w:val="0"/>
        <w:bidi w:val="0"/>
        <w:spacing w:before="123" w:line="241" w:lineRule="auto"/>
        <w:ind w:left="686"/>
        <w:jc w:val="center"/>
        <w:rPr>
          <w:rFonts w:hint="default" w:ascii="黑体" w:hAnsi="黑体" w:eastAsia="黑体" w:cs="黑体"/>
          <w:spacing w:val="-3"/>
          <w:sz w:val="24"/>
          <w:szCs w:val="24"/>
          <w:lang w:val="en-US" w:eastAsia="zh-CN"/>
        </w:rPr>
      </w:pPr>
      <w:r>
        <w:rPr>
          <w:rFonts w:hint="eastAsia" w:ascii="黑体" w:hAnsi="黑体" w:eastAsia="黑体" w:cs="黑体"/>
          <w:spacing w:val="-3"/>
          <w:sz w:val="24"/>
          <w:szCs w:val="24"/>
          <w:lang w:val="en-US" w:eastAsia="zh-CN"/>
        </w:rPr>
        <w:t>表3  专业核心课程描述</w:t>
      </w:r>
    </w:p>
    <w:tbl>
      <w:tblPr>
        <w:tblStyle w:val="14"/>
        <w:tblW w:w="512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11"/>
        <w:gridCol w:w="1604"/>
        <w:gridCol w:w="1669"/>
        <w:gridCol w:w="2542"/>
        <w:gridCol w:w="3851"/>
        <w:gridCol w:w="4209"/>
      </w:tblGrid>
      <w:tr w14:paraId="0544B9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blHeader/>
        </w:trPr>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CF5E5">
            <w:pPr>
              <w:keepNext w:val="0"/>
              <w:keepLines w:val="0"/>
              <w:pageBreakBefore w:val="0"/>
              <w:wordWrap/>
              <w:overflowPunct/>
              <w:topLinePunct w:val="0"/>
              <w:bidi w:val="0"/>
              <w:adjustRightInd w:val="0"/>
              <w:snapToGrid w:val="0"/>
              <w:spacing w:line="240" w:lineRule="auto"/>
              <w:jc w:val="center"/>
              <w:rPr>
                <w:rFonts w:hint="eastAsia" w:ascii="方正书宋简体" w:hAnsi="楷体" w:eastAsia="方正书宋简体" w:cs="MS Gothic"/>
                <w:b/>
                <w:bCs/>
                <w:color w:val="000000"/>
                <w:szCs w:val="21"/>
                <w:lang w:val="en-US" w:eastAsia="zh-CN"/>
              </w:rPr>
            </w:pPr>
            <w:r>
              <w:rPr>
                <w:rFonts w:hint="eastAsia" w:ascii="方正书宋简体" w:hAnsi="楷体" w:eastAsia="方正书宋简体" w:cs="MS Gothic"/>
                <w:b/>
                <w:bCs/>
                <w:color w:val="000000"/>
                <w:szCs w:val="21"/>
                <w:lang w:val="en-US" w:eastAsia="zh-CN"/>
              </w:rPr>
              <w:t>序号</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8AA79">
            <w:pPr>
              <w:keepNext w:val="0"/>
              <w:keepLines w:val="0"/>
              <w:pageBreakBefore w:val="0"/>
              <w:wordWrap/>
              <w:overflowPunct/>
              <w:topLinePunct w:val="0"/>
              <w:bidi w:val="0"/>
              <w:adjustRightInd w:val="0"/>
              <w:snapToGrid w:val="0"/>
              <w:spacing w:line="240" w:lineRule="auto"/>
              <w:jc w:val="center"/>
              <w:rPr>
                <w:rFonts w:hint="eastAsia" w:ascii="方正书宋简体" w:hAnsi="楷体" w:eastAsia="方正书宋简体" w:cs="MS Gothic"/>
                <w:b/>
                <w:bCs/>
                <w:color w:val="000000"/>
                <w:szCs w:val="21"/>
                <w:lang w:val="en-US" w:eastAsia="zh-CN"/>
              </w:rPr>
            </w:pPr>
            <w:r>
              <w:rPr>
                <w:rFonts w:hint="eastAsia" w:ascii="方正书宋简体" w:hAnsi="楷体" w:eastAsia="方正书宋简体" w:cs="MS Gothic"/>
                <w:b/>
                <w:bCs/>
                <w:color w:val="000000"/>
                <w:szCs w:val="21"/>
                <w:lang w:val="en-US" w:eastAsia="zh-CN"/>
              </w:rPr>
              <w:t>学习领域</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EF1837">
            <w:pPr>
              <w:keepNext w:val="0"/>
              <w:keepLines w:val="0"/>
              <w:pageBreakBefore w:val="0"/>
              <w:wordWrap/>
              <w:overflowPunct/>
              <w:topLinePunct w:val="0"/>
              <w:bidi w:val="0"/>
              <w:adjustRightInd w:val="0"/>
              <w:snapToGrid w:val="0"/>
              <w:spacing w:line="240" w:lineRule="auto"/>
              <w:jc w:val="center"/>
              <w:rPr>
                <w:rFonts w:hint="eastAsia" w:ascii="方正书宋简体" w:hAnsi="楷体" w:eastAsia="方正书宋简体" w:cs="MS Gothic"/>
                <w:b/>
                <w:bCs/>
                <w:color w:val="000000"/>
                <w:szCs w:val="21"/>
                <w:lang w:val="en-US" w:eastAsia="zh-CN"/>
              </w:rPr>
            </w:pPr>
            <w:r>
              <w:rPr>
                <w:rFonts w:hint="eastAsia" w:ascii="方正书宋简体" w:hAnsi="楷体" w:eastAsia="方正书宋简体" w:cs="MS Gothic"/>
                <w:b/>
                <w:bCs/>
                <w:color w:val="000000"/>
                <w:szCs w:val="21"/>
                <w:lang w:val="en-US" w:eastAsia="zh-CN"/>
              </w:rPr>
              <w:t>理论知识</w:t>
            </w:r>
          </w:p>
        </w:tc>
        <w:tc>
          <w:tcPr>
            <w:tcW w:w="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DB2181">
            <w:pPr>
              <w:keepNext w:val="0"/>
              <w:keepLines w:val="0"/>
              <w:pageBreakBefore w:val="0"/>
              <w:wordWrap/>
              <w:overflowPunct/>
              <w:topLinePunct w:val="0"/>
              <w:bidi w:val="0"/>
              <w:adjustRightInd w:val="0"/>
              <w:snapToGrid w:val="0"/>
              <w:spacing w:line="240" w:lineRule="auto"/>
              <w:jc w:val="center"/>
              <w:rPr>
                <w:rFonts w:hint="eastAsia" w:ascii="方正书宋简体" w:hAnsi="楷体" w:eastAsia="方正书宋简体" w:cs="MS Gothic"/>
                <w:b/>
                <w:bCs/>
                <w:color w:val="000000"/>
                <w:szCs w:val="21"/>
                <w:lang w:val="en-US" w:eastAsia="zh-CN"/>
              </w:rPr>
            </w:pPr>
            <w:r>
              <w:rPr>
                <w:rFonts w:hint="eastAsia" w:ascii="方正书宋简体" w:hAnsi="楷体" w:eastAsia="方正书宋简体" w:cs="MS Gothic"/>
                <w:b/>
                <w:bCs/>
                <w:color w:val="000000"/>
                <w:szCs w:val="21"/>
                <w:lang w:val="en-US" w:eastAsia="zh-CN"/>
              </w:rPr>
              <w:t>实践技能</w:t>
            </w:r>
          </w:p>
        </w:tc>
        <w:tc>
          <w:tcPr>
            <w:tcW w:w="1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2302B">
            <w:pPr>
              <w:keepNext w:val="0"/>
              <w:keepLines w:val="0"/>
              <w:pageBreakBefore w:val="0"/>
              <w:wordWrap/>
              <w:overflowPunct/>
              <w:topLinePunct w:val="0"/>
              <w:bidi w:val="0"/>
              <w:adjustRightInd w:val="0"/>
              <w:snapToGrid w:val="0"/>
              <w:spacing w:line="240" w:lineRule="auto"/>
              <w:jc w:val="center"/>
              <w:rPr>
                <w:rFonts w:hint="eastAsia" w:ascii="方正书宋简体" w:hAnsi="楷体" w:eastAsia="方正书宋简体" w:cs="MS Gothic"/>
                <w:b/>
                <w:bCs/>
                <w:color w:val="000000"/>
                <w:szCs w:val="21"/>
                <w:lang w:val="en-US" w:eastAsia="zh-CN"/>
              </w:rPr>
            </w:pPr>
            <w:r>
              <w:rPr>
                <w:rFonts w:hint="eastAsia" w:ascii="方正书宋简体" w:hAnsi="楷体" w:eastAsia="方正书宋简体" w:cs="MS Gothic"/>
                <w:b/>
                <w:bCs/>
                <w:color w:val="000000"/>
                <w:szCs w:val="21"/>
                <w:lang w:val="en-US" w:eastAsia="zh-CN"/>
              </w:rPr>
              <w:t>目标描述</w:t>
            </w:r>
          </w:p>
        </w:tc>
        <w:tc>
          <w:tcPr>
            <w:tcW w:w="1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69076">
            <w:pPr>
              <w:keepNext w:val="0"/>
              <w:keepLines w:val="0"/>
              <w:pageBreakBefore w:val="0"/>
              <w:wordWrap/>
              <w:overflowPunct/>
              <w:topLinePunct w:val="0"/>
              <w:bidi w:val="0"/>
              <w:adjustRightInd w:val="0"/>
              <w:snapToGrid w:val="0"/>
              <w:spacing w:line="240" w:lineRule="auto"/>
              <w:jc w:val="center"/>
              <w:rPr>
                <w:rFonts w:hint="eastAsia" w:ascii="方正书宋简体" w:hAnsi="楷体" w:eastAsia="方正书宋简体" w:cs="MS Gothic"/>
                <w:b/>
                <w:bCs/>
                <w:color w:val="000000"/>
                <w:szCs w:val="21"/>
                <w:lang w:val="en-US" w:eastAsia="zh-CN"/>
              </w:rPr>
            </w:pPr>
            <w:r>
              <w:rPr>
                <w:rFonts w:hint="eastAsia" w:ascii="方正书宋简体" w:hAnsi="楷体" w:eastAsia="方正书宋简体" w:cs="MS Gothic"/>
                <w:b/>
                <w:bCs/>
                <w:color w:val="000000"/>
                <w:szCs w:val="21"/>
                <w:lang w:val="en-US" w:eastAsia="zh-CN"/>
              </w:rPr>
              <w:t>学习内容</w:t>
            </w:r>
          </w:p>
        </w:tc>
      </w:tr>
      <w:tr w14:paraId="0192B6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E14EF">
            <w:pPr>
              <w:keepNext w:val="0"/>
              <w:keepLines w:val="0"/>
              <w:pageBreakBefore w:val="0"/>
              <w:wordWrap/>
              <w:overflowPunct/>
              <w:topLinePunct w:val="0"/>
              <w:bidi w:val="0"/>
              <w:adjustRightInd w:val="0"/>
              <w:snapToGrid w:val="0"/>
              <w:spacing w:line="240" w:lineRule="auto"/>
              <w:jc w:val="center"/>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A91A1">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学习领域1:机电一体化系统功能分析</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AD027">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绘制框图与流程图；工作原理分析；设备功能分析；计划工作步骤和过程。</w:t>
            </w:r>
          </w:p>
        </w:tc>
        <w:tc>
          <w:tcPr>
            <w:tcW w:w="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FA688">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会查阅资料解决问题；能正确使用专业术语；进行机电一体化设备功能关系分析与数据记录；可以根据图纸进行材料统计、动力源统计、工艺分析；使用办公软件；客户的沟通交流。</w:t>
            </w:r>
          </w:p>
        </w:tc>
        <w:tc>
          <w:tcPr>
            <w:tcW w:w="1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7D4F6D">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1.在设备检查中使用的条例和规定。</w:t>
            </w:r>
          </w:p>
          <w:p w14:paraId="22E36AC7">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2.搜集技术资料，用于参考，得出问题的结论。</w:t>
            </w:r>
          </w:p>
          <w:p w14:paraId="5372863D">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3.掌握功能工艺分析和编制的方法，在团队中讨论关于相关技术实现的可能性。</w:t>
            </w:r>
          </w:p>
          <w:p w14:paraId="59430F7D">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4.绘制使用流程图工作，并且借助流程图识别信号流，材料，能量源。</w:t>
            </w:r>
          </w:p>
          <w:p w14:paraId="1129665A">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5.了解设备的基本工作原理。</w:t>
            </w:r>
          </w:p>
          <w:p w14:paraId="4492DE1D">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6.整理统计相关资料与数据，并进行分析。</w:t>
            </w:r>
          </w:p>
          <w:p w14:paraId="1138D9E7">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7.注意环境保护与成本的控制。理解技术沟通中英语的重要性。</w:t>
            </w:r>
          </w:p>
        </w:tc>
        <w:tc>
          <w:tcPr>
            <w:tcW w:w="1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89E3A4">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1.了解企业生产规范和安全、环保规定；</w:t>
            </w:r>
          </w:p>
          <w:p w14:paraId="4062D7F7">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2.初步了解机电一体化设备的应用；</w:t>
            </w:r>
          </w:p>
          <w:p w14:paraId="5FE87DAC">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3.机电一体化设备的认知分析；</w:t>
            </w:r>
          </w:p>
          <w:p w14:paraId="0E3BE759">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4.设备资料收集与整理；</w:t>
            </w:r>
          </w:p>
          <w:p w14:paraId="71E725F3">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5.设备参数的分析；</w:t>
            </w:r>
          </w:p>
          <w:p w14:paraId="5EB962E0">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6.设备的能源分析(电源、气源、液压、水源、热源等);</w:t>
            </w:r>
          </w:p>
          <w:p w14:paraId="7886745D">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7.工艺框图与工作流程图的绘制；</w:t>
            </w:r>
          </w:p>
          <w:p w14:paraId="209FEB68">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8.设备的元件材料表统计</w:t>
            </w:r>
          </w:p>
          <w:p w14:paraId="4B3C8920">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9.生产工艺、环保、安全的讨论会议与展示；</w:t>
            </w:r>
          </w:p>
          <w:p w14:paraId="41110F66">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10.了解设备可行性的新工艺、技术、装备、材料改造；</w:t>
            </w:r>
          </w:p>
          <w:p w14:paraId="60754FFD">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11.HSE(健康、安全、环保)培训：H=Health management健康S=Safety and Security安全E=Environmental protection环保</w:t>
            </w:r>
          </w:p>
        </w:tc>
      </w:tr>
      <w:tr w14:paraId="33A32C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CBAB3">
            <w:pPr>
              <w:keepNext w:val="0"/>
              <w:keepLines w:val="0"/>
              <w:pageBreakBefore w:val="0"/>
              <w:wordWrap/>
              <w:overflowPunct/>
              <w:topLinePunct w:val="0"/>
              <w:bidi w:val="0"/>
              <w:adjustRightInd w:val="0"/>
              <w:snapToGrid w:val="0"/>
              <w:spacing w:line="240" w:lineRule="auto"/>
              <w:jc w:val="center"/>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2</w:t>
            </w:r>
          </w:p>
        </w:tc>
        <w:tc>
          <w:tcPr>
            <w:tcW w:w="5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E42F0">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学习领域2:机械系统的制造和装配</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7BCFA">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读懂制图；精确尺寸公差；制作草图和零件清单；计划、实施、加工工作步骤和工作程序；使用操作说明和工作说明。</w:t>
            </w:r>
          </w:p>
        </w:tc>
        <w:tc>
          <w:tcPr>
            <w:tcW w:w="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D88B2">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挑选工具、刀具和材料；使用测量工具；整理工位；手工及利用机器制造工件：锯、锉、钻、铰、攻丝(螺纹切削)、折弯；车削、铣削加工；组合零件装配：螺钉、销钉、胶合、锡焊、电焊。</w:t>
            </w:r>
          </w:p>
        </w:tc>
        <w:tc>
          <w:tcPr>
            <w:tcW w:w="1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E79171">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1.掌握相关机械结构、材料。</w:t>
            </w:r>
          </w:p>
          <w:p w14:paraId="38846361">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2.阅读并掌握相应的绘图标准，进行手绘。</w:t>
            </w:r>
          </w:p>
          <w:p w14:paraId="235D7779">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3.能够使用与机械、电气有关的刀具、工具、量具。</w:t>
            </w:r>
          </w:p>
          <w:p w14:paraId="75D62704">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4.掌握并使用机器加工，根据图纸进行零件制作，按照相关标准，装配机、电部件。</w:t>
            </w:r>
          </w:p>
          <w:p w14:paraId="4FED2B06">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5.按照规定、要求，对相应设备进行检测、维护、维修等。</w:t>
            </w:r>
          </w:p>
        </w:tc>
        <w:tc>
          <w:tcPr>
            <w:tcW w:w="1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61C47C">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1.单一工件制图及组合工件装配图；</w:t>
            </w:r>
          </w:p>
          <w:p w14:paraId="08C3E5A6">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2.机器部件、调整、公差；</w:t>
            </w:r>
          </w:p>
          <w:p w14:paraId="3EDDFF79">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3.装配图、连接元件；</w:t>
            </w:r>
          </w:p>
          <w:p w14:paraId="6F15D307">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4.手工和机器的切削加工及成型加工；</w:t>
            </w:r>
          </w:p>
          <w:p w14:paraId="29AC06E5">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5.通过牵引、定型和材料决定使用动力连接，形状配合连接，材料连接进行装配；</w:t>
            </w:r>
          </w:p>
          <w:p w14:paraId="43ABDC8A">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6.加工特定的材料和辅助材料的 特殊加工；</w:t>
            </w:r>
          </w:p>
          <w:p w14:paraId="3438571A">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7.装配工具和使用辅助设备；</w:t>
            </w:r>
          </w:p>
          <w:p w14:paraId="2CBB7917">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8.零件、装配件的正确存放，安全因素及劳动防护措施；</w:t>
            </w:r>
          </w:p>
          <w:p w14:paraId="3F7C58EF">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9.检测和测量设备的工具，测量中误差的规避；</w:t>
            </w:r>
          </w:p>
          <w:p w14:paraId="112342A8">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10.环境保护和经济意识。</w:t>
            </w:r>
          </w:p>
        </w:tc>
      </w:tr>
      <w:tr w14:paraId="3CFA2D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D9CEC">
            <w:pPr>
              <w:keepNext w:val="0"/>
              <w:keepLines w:val="0"/>
              <w:pageBreakBefore w:val="0"/>
              <w:wordWrap/>
              <w:overflowPunct/>
              <w:topLinePunct w:val="0"/>
              <w:bidi w:val="0"/>
              <w:adjustRightInd w:val="0"/>
              <w:snapToGrid w:val="0"/>
              <w:spacing w:line="240" w:lineRule="auto"/>
              <w:jc w:val="center"/>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3</w:t>
            </w:r>
          </w:p>
        </w:tc>
        <w:tc>
          <w:tcPr>
            <w:tcW w:w="5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4AC1E">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学习领域3:基于技术安全规范的电气设备安装</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C5A4B9">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安全用电及防护急救；识图、制图；电气关系分析及参数计算；电气部件和组件参数计算、匹配与测量；计划、实施、控制工作步骤和工作程序；应用操作说明和工作说明。</w:t>
            </w:r>
          </w:p>
        </w:tc>
        <w:tc>
          <w:tcPr>
            <w:tcW w:w="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502DF">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挑选工具；使用仪器仪表；线缆头制作；电气元件辨识、选择；器件和组件布局；参数整定；接线、锡焊；线路检测及故障排除；线路搭建；整理工位。</w:t>
            </w:r>
          </w:p>
        </w:tc>
        <w:tc>
          <w:tcPr>
            <w:tcW w:w="1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12527">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1.在进行的功能设计过程具有改变电气参数换算的知识。</w:t>
            </w:r>
          </w:p>
          <w:p w14:paraId="33ECCC2E">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2.认识电气技术基础线路，描述基础原理和检查。</w:t>
            </w:r>
          </w:p>
          <w:p w14:paraId="3D3BA533">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3.能够具有选择电气操作工具的知识。</w:t>
            </w:r>
          </w:p>
          <w:p w14:paraId="6324C466">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4.进行计算，使用表格和公式来解决任务。</w:t>
            </w:r>
          </w:p>
          <w:p w14:paraId="07222CE2">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5.认识电气能源使用对人和设备产生的危险。</w:t>
            </w:r>
          </w:p>
          <w:p w14:paraId="0DEAB165">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6.制定对人和设备的安全防护措施，并设计使用。</w:t>
            </w:r>
          </w:p>
          <w:p w14:paraId="19D2DFF6">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7.能够选择常用的测试仪和量具。</w:t>
            </w:r>
          </w:p>
          <w:p w14:paraId="447A3440">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8.处理工作材料中的更改。</w:t>
            </w:r>
          </w:p>
          <w:p w14:paraId="44876583">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9.从英语工作材料中摘取信息。</w:t>
            </w:r>
          </w:p>
        </w:tc>
        <w:tc>
          <w:tcPr>
            <w:tcW w:w="1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708749">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介绍(名词、元件、单位、公式、换算等)</w:t>
            </w:r>
          </w:p>
          <w:p w14:paraId="297DD00E">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A:直流电路：1.绘制电子电路图；2.分析计算电路参数；3.制定工作计划；4.识别电子元件、检测；5.电源的空载与负载运行测试；6.确定元器件布局；7.根据电子焊接工艺焊接；8.运用万用表、示波器等仪器检测电路。</w:t>
            </w:r>
          </w:p>
          <w:p w14:paraId="53C7495B">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B:交流电路1.安全用电常识；2.元器件辨识(查找资料：品牌、系列、参数、功能);3.常用的电器安全保护与计算(过载、短路、超压、欠压、缺相等)4.交流电路分析、讨论、制定方案；5.制定工作计划；6.根据图纸选择元件；7.元件参数计算、匹配；8.元器件检测；9.工具选择；10.搭建交流电路；11.运用万用表等仪器检测电路；12.干扰的效应与预防；13.设备的安全检测；</w:t>
            </w:r>
          </w:p>
          <w:p w14:paraId="3A5965F2">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C:搭建和调试电气线路1.电气安全(三相交流电)(供电系统);2.绘制电气原理图；3.识别、选取与检测低压电器元件；4.分析、使用异步电动机(查找资料：品牌、系列、参数、功能);5.分析基本电气控制电路；6.根据电气安装标准、电气安装工艺，完成元器件布局、搭建7.计算整定元件参数进行调试；8.电气线路故障处理；9.运用万用表等仪器检测电路；10.干扰的效应与预防；11.设备的安全检测；12.功能展示。</w:t>
            </w:r>
          </w:p>
        </w:tc>
      </w:tr>
      <w:tr w14:paraId="73ED9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2094A">
            <w:pPr>
              <w:keepNext w:val="0"/>
              <w:keepLines w:val="0"/>
              <w:pageBreakBefore w:val="0"/>
              <w:wordWrap/>
              <w:overflowPunct/>
              <w:topLinePunct w:val="0"/>
              <w:bidi w:val="0"/>
              <w:adjustRightInd w:val="0"/>
              <w:snapToGrid w:val="0"/>
              <w:spacing w:line="240" w:lineRule="auto"/>
              <w:jc w:val="center"/>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4</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62195F">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学习领域4:气动系统的搭建、控制与检测</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927C8">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电气/气动原理、系统识图与流程图的制作；气动元件、电气元器件参数计算与匹配；电气、气动回路识别与搭建；能源选择与分析；熟悉控制原理；说明书识读、操作手册编制；控制仿真软件应用。</w:t>
            </w:r>
          </w:p>
        </w:tc>
        <w:tc>
          <w:tcPr>
            <w:tcW w:w="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8B3EC">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电、气元器件选型；电、气基本回路构建；控制系统用户程序编制仿真；电、气系统检测、调试和投运；仪气仪表的使用与检测；工作计划的制定。</w:t>
            </w:r>
          </w:p>
        </w:tc>
        <w:tc>
          <w:tcPr>
            <w:tcW w:w="1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5576D">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1.掌握控制技术基本原理。</w:t>
            </w:r>
          </w:p>
          <w:p w14:paraId="7CB2D117">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2.阅读控制图，完成绘制和更改练习。</w:t>
            </w:r>
          </w:p>
          <w:p w14:paraId="74530899">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3.认识电气、气动组建的选型与技术参数。</w:t>
            </w:r>
          </w:p>
          <w:p w14:paraId="5D1C23AC">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4.认识必要辅助能量产生的方法。</w:t>
            </w:r>
          </w:p>
          <w:p w14:paraId="3C1D3308">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5.使用基本的安全测量方法，了解电气、气动系统的危险。</w:t>
            </w:r>
          </w:p>
          <w:p w14:paraId="601841FA">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6.完成控制回路的搭建。</w:t>
            </w:r>
          </w:p>
          <w:p w14:paraId="1944DAB9">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7.能理解英语的产品描述，使用英语专业表达。</w:t>
            </w:r>
          </w:p>
          <w:p w14:paraId="4C3081D5">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8.注重工作防护和环境保护的规则。</w:t>
            </w:r>
          </w:p>
        </w:tc>
        <w:tc>
          <w:tcPr>
            <w:tcW w:w="1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80BA7">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1.气动元器件工作原理；元件辨识与参数识读；</w:t>
            </w:r>
          </w:p>
          <w:p w14:paraId="59F17EB5">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2.元件的测量与检查；</w:t>
            </w:r>
          </w:p>
          <w:p w14:paraId="69A373A0">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3.电气、气动的安全分析与防护；</w:t>
            </w:r>
          </w:p>
          <w:p w14:paraId="3D5C148B">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4.电磁阀的原理、选型与匹配；</w:t>
            </w:r>
          </w:p>
          <w:p w14:paraId="44CA6C0D">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5.气动元器件选用、匹配与基础 计算；A.电气元件的选型、接线；B.气动回路元件选型；C.气动元件连接；D.电、气动回路元件选型、连接；E.能源分析与应用；</w:t>
            </w:r>
          </w:p>
          <w:p w14:paraId="40DEF07F">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6.电、气基本控制回路的分析设计；A.基本电气控制方案分析与搭建；B.电气动控制方案分析与搭建；C.电、气控制方案分析与搭建；</w:t>
            </w:r>
          </w:p>
          <w:p w14:paraId="159A637E">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7.控制方案的检测、调试；</w:t>
            </w:r>
          </w:p>
          <w:p w14:paraId="4558E574">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8.技术文档编制与版本管理；</w:t>
            </w:r>
          </w:p>
          <w:p w14:paraId="3152C033">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9.HSE健康、安全、环保规定执行。</w:t>
            </w:r>
          </w:p>
        </w:tc>
      </w:tr>
      <w:tr w14:paraId="612CF8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BF34E">
            <w:pPr>
              <w:keepNext w:val="0"/>
              <w:keepLines w:val="0"/>
              <w:pageBreakBefore w:val="0"/>
              <w:wordWrap/>
              <w:overflowPunct/>
              <w:topLinePunct w:val="0"/>
              <w:bidi w:val="0"/>
              <w:adjustRightInd w:val="0"/>
              <w:snapToGrid w:val="0"/>
              <w:spacing w:line="240" w:lineRule="auto"/>
              <w:jc w:val="center"/>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5</w:t>
            </w:r>
          </w:p>
        </w:tc>
        <w:tc>
          <w:tcPr>
            <w:tcW w:w="5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EE063">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学习领域5:数据处理系统的应用</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F0C48">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计算机系统安装；办公软件的应用(office);CAD制图；专业仿真软件的应用；网络通信技术与数据交换；测试软件应用。</w:t>
            </w:r>
          </w:p>
        </w:tc>
        <w:tc>
          <w:tcPr>
            <w:tcW w:w="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1B1B25">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操作系统的安装；数据表格的应用；流程图制作；编写材料；绘制图纸；专业软件的安装、编写、调试；网络的连接与调试；测试软件的选取与调试。</w:t>
            </w:r>
          </w:p>
        </w:tc>
        <w:tc>
          <w:tcPr>
            <w:tcW w:w="1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60655">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1.应用操作系统和应用程序包，如Office程序、简单的CAD制图软件、仿真机器人的编程软件、互联网或类似软件。</w:t>
            </w:r>
          </w:p>
          <w:p w14:paraId="0295C845">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2.描述数据处理设备的使用，通过操作过程中的分类以及结构网络系统。</w:t>
            </w:r>
          </w:p>
          <w:p w14:paraId="31CF2DD4">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3.在此基础上，搭建安全使用环境、要求。</w:t>
            </w:r>
          </w:p>
          <w:p w14:paraId="164E0A0E">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4.分析工作任务，取得工作信息资料，使用和选择行业标准的软件。</w:t>
            </w:r>
          </w:p>
        </w:tc>
        <w:tc>
          <w:tcPr>
            <w:tcW w:w="1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5F223">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1.Windows操作系统安装、调试、使用；</w:t>
            </w:r>
          </w:p>
          <w:p w14:paraId="6C0BBC20">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2.数据处理设备的连网(打印机、扫描仪等);</w:t>
            </w:r>
          </w:p>
          <w:p w14:paraId="2C676A07">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3.数据保护和数据安全；</w:t>
            </w:r>
          </w:p>
          <w:p w14:paraId="31663CA9">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4.Office安装、使用；</w:t>
            </w:r>
          </w:p>
          <w:p w14:paraId="09284D10">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5.CAD绘图；</w:t>
            </w:r>
          </w:p>
          <w:p w14:paraId="1C6BC2C4">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6.生产数据资料的整理与分析；</w:t>
            </w:r>
          </w:p>
          <w:p w14:paraId="43C849CF">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7.计算机网络应用；</w:t>
            </w:r>
          </w:p>
          <w:p w14:paraId="3B2C6375">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8.计算机工作站的合理设计与分析。</w:t>
            </w:r>
          </w:p>
        </w:tc>
      </w:tr>
      <w:tr w14:paraId="0E01C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45C68">
            <w:pPr>
              <w:keepNext w:val="0"/>
              <w:keepLines w:val="0"/>
              <w:pageBreakBefore w:val="0"/>
              <w:wordWrap/>
              <w:overflowPunct/>
              <w:topLinePunct w:val="0"/>
              <w:bidi w:val="0"/>
              <w:adjustRightInd w:val="0"/>
              <w:snapToGrid w:val="0"/>
              <w:spacing w:line="240" w:lineRule="auto"/>
              <w:jc w:val="center"/>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6</w:t>
            </w:r>
          </w:p>
        </w:tc>
        <w:tc>
          <w:tcPr>
            <w:tcW w:w="5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A1F65">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学习领域6:工作过程的计划和组织</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867B1">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材料支配和统计；工作流程分析；结果评估和文档处理；人体工程学设计；事故预防和保护；计划制定和成本核算；工作流程图；质量管理。</w:t>
            </w:r>
          </w:p>
        </w:tc>
        <w:tc>
          <w:tcPr>
            <w:tcW w:w="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D3A593">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Office使用；设备材料、元件的辨识；分析加工工艺；绘制图纸；熟悉安全规定；了解生产流程；了解设备技术参 数。</w:t>
            </w:r>
          </w:p>
        </w:tc>
        <w:tc>
          <w:tcPr>
            <w:tcW w:w="1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28CD7">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1.能够分析、描述工艺流程结构，并根据其功能，生产技术和经济标准来组织团队工作。</w:t>
            </w:r>
          </w:p>
          <w:p w14:paraId="201EDCA7">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2.制定工作过程中必要的技术标准、工具使用要求、操作规程规范、表格与流程图。</w:t>
            </w:r>
          </w:p>
          <w:p w14:paraId="6C64C236">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3.注重质量与检测，定制相关规定。</w:t>
            </w:r>
          </w:p>
          <w:p w14:paraId="48FADCCA">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4.生产数据的处理与工作计划的制定、讨论，操作与工艺资料的整理，说明书的编制。</w:t>
            </w:r>
          </w:p>
          <w:p w14:paraId="59A90406">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5.在工作准备时要注重健康和工作保护。6.使用英语专业表述。</w:t>
            </w:r>
          </w:p>
        </w:tc>
        <w:tc>
          <w:tcPr>
            <w:tcW w:w="1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6D7BE">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1.材料选型与询价；</w:t>
            </w:r>
          </w:p>
          <w:p w14:paraId="2365DF4A">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2.工艺功能分析；</w:t>
            </w:r>
          </w:p>
          <w:p w14:paraId="01341C02">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3.机械加工与电气设计；</w:t>
            </w:r>
          </w:p>
          <w:p w14:paraId="2D560F91">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4.安全分析与设计；</w:t>
            </w:r>
          </w:p>
          <w:p w14:paraId="39F3A8C0">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5.计划制定与展示、执行；</w:t>
            </w:r>
          </w:p>
          <w:p w14:paraId="16B13ADA">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6.专业表格应用。</w:t>
            </w:r>
          </w:p>
        </w:tc>
      </w:tr>
      <w:tr w14:paraId="70A08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5F354">
            <w:pPr>
              <w:keepNext w:val="0"/>
              <w:keepLines w:val="0"/>
              <w:pageBreakBefore w:val="0"/>
              <w:wordWrap/>
              <w:overflowPunct/>
              <w:topLinePunct w:val="0"/>
              <w:bidi w:val="0"/>
              <w:adjustRightInd w:val="0"/>
              <w:snapToGrid w:val="0"/>
              <w:spacing w:line="240" w:lineRule="auto"/>
              <w:jc w:val="center"/>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7</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5001E">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学习领域7:机电一体化子系统的搭建</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680A8">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读懂机械装配图、电气原理图、液压与气动工作原理图；制作流程图；传感器、变送器原理；设备和系统的工作参数；设备和系统的工作模式，掌握设备装配工艺和电气施工工艺；PLC控制原理与编程；驱动部件原理与应用。</w:t>
            </w:r>
          </w:p>
        </w:tc>
        <w:tc>
          <w:tcPr>
            <w:tcW w:w="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DF7D66">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简单的PLC功能编程；PLC选型与接  线；检测元件匹配与校准工作；电气元件选型与接线；气动、液动部件选型、布局与连接；功能组件的调试。</w:t>
            </w:r>
          </w:p>
        </w:tc>
        <w:tc>
          <w:tcPr>
            <w:tcW w:w="1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354288">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1.掌握机电一体化分系统的结构。</w:t>
            </w:r>
          </w:p>
          <w:p w14:paraId="487A8BB7">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2.了解传感器，变送器基本原理，传感器调准。</w:t>
            </w:r>
          </w:p>
          <w:p w14:paraId="5FF119A9">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3.设计使用电气，气动和液压部件实现直线运动和旋转运动。4.控制和调节知识的应用，调节位移和运动方向。</w:t>
            </w:r>
          </w:p>
          <w:p w14:paraId="5E3D07DA">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5.掌握简单编程方法。</w:t>
            </w:r>
          </w:p>
          <w:p w14:paraId="702E109E">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6.借助仪表检测信号，测试元件功能，排除故障。</w:t>
            </w:r>
          </w:p>
          <w:p w14:paraId="0BE52933">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7.绘制基础线路。</w:t>
            </w:r>
          </w:p>
          <w:p w14:paraId="426DCB4C">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8.借助工具使用英语资料。</w:t>
            </w:r>
          </w:p>
        </w:tc>
        <w:tc>
          <w:tcPr>
            <w:tcW w:w="1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9C9DA">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1.设备功能分析、设计与流程图的绘制；</w:t>
            </w:r>
          </w:p>
          <w:p w14:paraId="47BA6240">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2.电、气、液元器件元器选用、匹配与基础计算；A.PLC选型、接线；B.传感器、变送器选型、接线、调校；C.气动回路元件选型、接线；D.液压回路元件选型、接线；</w:t>
            </w:r>
          </w:p>
          <w:p w14:paraId="4DFC2C45">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3.外围元件的选型、安装、调试；</w:t>
            </w:r>
          </w:p>
          <w:p w14:paraId="2839D7AC">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4.仪器仪表的使用与排故；</w:t>
            </w:r>
          </w:p>
          <w:p w14:paraId="1F2E83E4">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5.功能部件的检测与调试；</w:t>
            </w:r>
          </w:p>
          <w:p w14:paraId="64EF593E">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6.应用软件编程、仿真、调试与投运；</w:t>
            </w:r>
          </w:p>
          <w:p w14:paraId="53CBC94D">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7.基本PLC控制系统编程、调试；</w:t>
            </w:r>
          </w:p>
          <w:p w14:paraId="4552E4DB">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8.技术文档编制与版本管理。</w:t>
            </w:r>
          </w:p>
        </w:tc>
      </w:tr>
      <w:tr w14:paraId="7DCC76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7AB5E">
            <w:pPr>
              <w:keepNext w:val="0"/>
              <w:keepLines w:val="0"/>
              <w:pageBreakBefore w:val="0"/>
              <w:wordWrap/>
              <w:overflowPunct/>
              <w:topLinePunct w:val="0"/>
              <w:bidi w:val="0"/>
              <w:adjustRightInd w:val="0"/>
              <w:snapToGrid w:val="0"/>
              <w:spacing w:line="240" w:lineRule="auto"/>
              <w:jc w:val="center"/>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8</w:t>
            </w:r>
          </w:p>
        </w:tc>
        <w:tc>
          <w:tcPr>
            <w:tcW w:w="5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39B6F">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学习领域8:机电一体化系统的项目设计与优化</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7688C0">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理解工艺要求、国家及行业 标准；编制项目计划；制作说明书手册；编制机械加工、装配图；电气控制、装配图；气动控制、装配图；液动控制、装配图；编写核心控制程序；安全装置的设计；驱动元件的原理、参数与特性；数控系统；伺服、变频控制原理。</w:t>
            </w:r>
          </w:p>
        </w:tc>
        <w:tc>
          <w:tcPr>
            <w:tcW w:w="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52B6A">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驱动器的选型、调试与参数设定；参数的计算与调较；专业软件应用；PLC应用；三维制图；机械功能设计；部件安装调试分析；安全分析。</w:t>
            </w:r>
          </w:p>
        </w:tc>
        <w:tc>
          <w:tcPr>
            <w:tcW w:w="1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1CCC7">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1.了解组成机电一体化系统的元件的结构和信号。</w:t>
            </w:r>
          </w:p>
          <w:p w14:paraId="23448BFE">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2.分析影响干扰操作因素的处理流程。</w:t>
            </w:r>
          </w:p>
          <w:p w14:paraId="31D55BCE">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3.通过数据信号检测来识别错误，分析错误原因。</w:t>
            </w:r>
          </w:p>
          <w:p w14:paraId="51C48014">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4.使用程序评估工作量控制和调试过程，统计记录结果和编制文件。</w:t>
            </w:r>
          </w:p>
          <w:p w14:paraId="3457ADF8">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5.使用控制和调节技术知识，影响设备速度以及运动参数。</w:t>
            </w:r>
          </w:p>
          <w:p w14:paraId="2A86B848">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6.能连接驱动单元，选择驱动单元和工作机器之间的耦合变量参数，编制文件，说明书。</w:t>
            </w:r>
          </w:p>
          <w:p w14:paraId="70E12A8B">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7.掌握控制和调节技术关系，对选择的驱动单元的功能说明可以用英语进行描述。</w:t>
            </w:r>
          </w:p>
          <w:p w14:paraId="6D1AD227">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8.了解超负荷情况的原因和影响。</w:t>
            </w:r>
          </w:p>
          <w:p w14:paraId="020726B2">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9.确定技术参数选择必要的保护装置。</w:t>
            </w:r>
          </w:p>
          <w:p w14:paraId="263531AE">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10.掌握程序编辑方法。</w:t>
            </w:r>
          </w:p>
          <w:p w14:paraId="33F01F13">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11.调整线路，更改技术材料，进行标注说明。</w:t>
            </w:r>
          </w:p>
          <w:p w14:paraId="0FFA2CAF">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12.了解危险源，注意工作防护和健康保护的规则。</w:t>
            </w:r>
          </w:p>
        </w:tc>
        <w:tc>
          <w:tcPr>
            <w:tcW w:w="1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8D4F0">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1.驱动器原理(交直流电机、变频、伺服、步进)、选型与参数调试；</w:t>
            </w:r>
          </w:p>
          <w:p w14:paraId="2965B2A1">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2.安全部件的设计、选择与应用；</w:t>
            </w:r>
          </w:p>
          <w:p w14:paraId="4F36307C">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3.设备安全运行状态的设置与调节；</w:t>
            </w:r>
          </w:p>
          <w:p w14:paraId="043CCD0F">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4.驱动部件的功能设计与调试；</w:t>
            </w:r>
          </w:p>
          <w:p w14:paraId="629F1CE5">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5.数控系统的分析与应用；</w:t>
            </w:r>
          </w:p>
          <w:p w14:paraId="4F82A43F">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6.仪器仪表的检测与调校；</w:t>
            </w:r>
          </w:p>
          <w:p w14:paraId="0333B2E2">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7.机械部件的功能设计与装配；</w:t>
            </w:r>
          </w:p>
          <w:p w14:paraId="7A53CC6D">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8.专业软件的应用；</w:t>
            </w:r>
          </w:p>
          <w:p w14:paraId="37A33334">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9.PLC编程与数控编程优化；</w:t>
            </w:r>
          </w:p>
          <w:p w14:paraId="5BDE88B9">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10.系统通信应用与调试；</w:t>
            </w:r>
          </w:p>
          <w:p w14:paraId="4A1B287A">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11.设计、安装、调试、设计更改 等资料的整理与编辑；</w:t>
            </w:r>
          </w:p>
          <w:p w14:paraId="22E520CF">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12.HSE的应用(健康、安全、环保)。</w:t>
            </w:r>
          </w:p>
        </w:tc>
      </w:tr>
      <w:tr w14:paraId="6EA12B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1E267">
            <w:pPr>
              <w:keepNext w:val="0"/>
              <w:keepLines w:val="0"/>
              <w:pageBreakBefore w:val="0"/>
              <w:wordWrap/>
              <w:overflowPunct/>
              <w:topLinePunct w:val="0"/>
              <w:bidi w:val="0"/>
              <w:adjustRightInd w:val="0"/>
              <w:snapToGrid w:val="0"/>
              <w:spacing w:line="240" w:lineRule="auto"/>
              <w:jc w:val="center"/>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9</w:t>
            </w:r>
          </w:p>
        </w:tc>
        <w:tc>
          <w:tcPr>
            <w:tcW w:w="5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D0110">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学习领域9:复杂机电一体化系统搭建与检查</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F3585">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明确任务；读懂机械装配图、电气原理图、液压与气动工作原理图；了解设备和系统的工作参数、设备和系统的工作原理；测量技术；掌握设备装配工艺和电气施工工艺、工业网络协议；进行控制、驱动、执行部件功能分析；制作检查流程图；制定检测、检查计划和实施方案；编写工作说明书。</w:t>
            </w:r>
          </w:p>
        </w:tc>
        <w:tc>
          <w:tcPr>
            <w:tcW w:w="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0F481">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选择检测和检查工具和仪器；诊断机械系统、电气系统、 液压、气动控制系统的常见问题；调试工业网络；检测工业网络故障；检测运行数据；检测各部件的运行状态参数；电气/液压/气动系统识图、流程图的制作。</w:t>
            </w:r>
          </w:p>
        </w:tc>
        <w:tc>
          <w:tcPr>
            <w:tcW w:w="1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CB75B">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1.通过图纸，辨别元件、数据流、能量流。</w:t>
            </w:r>
          </w:p>
          <w:p w14:paraId="7AAAD15E">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2.分析电气，机械，气动和液压元件之间的关系。</w:t>
            </w:r>
          </w:p>
          <w:p w14:paraId="1CCC1D5F">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3.掌握数据检测的测量技术方法，分析机械定位和电气信号，查找错误原因。</w:t>
            </w:r>
          </w:p>
          <w:p w14:paraId="6EAC0CB8">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4.能够通过运行数据与运行状态诊断故障点。能够改进设备功能与方案，并进行记录。</w:t>
            </w:r>
          </w:p>
          <w:p w14:paraId="3C8F4BC8">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5.能用英语修改材料。</w:t>
            </w:r>
          </w:p>
        </w:tc>
        <w:tc>
          <w:tcPr>
            <w:tcW w:w="1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8D7DF">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1.电、气、液元器件辨识参数识读；</w:t>
            </w:r>
          </w:p>
          <w:p w14:paraId="73CB930B">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2.元件的测量与检查；</w:t>
            </w:r>
          </w:p>
          <w:p w14:paraId="795137FC">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3.安全用电；</w:t>
            </w:r>
          </w:p>
          <w:p w14:paraId="19F9E0B5">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4.常用的电器安全保护与计算(过载、短路、超压、欠压、缺相等)；</w:t>
            </w:r>
          </w:p>
          <w:p w14:paraId="54C4C707">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5.电、气、液元器件元件选用、匹配与基础计算；A.电器元件的选型、接线；B.PLC选型、接线；C.传感器选型、接线；D.变频器选型、接线；E.伺服系统选型接线；F.气动回路元件选型接线；G.液压回路元件选型接线；H.电、气、液控制系统功能分析；</w:t>
            </w:r>
          </w:p>
          <w:p w14:paraId="666AD68A">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6.电、气、液基本控制回路的分析设计；A.基本PLC控制系统搭建；B.电器、气动控制系统搭建；C.电、气、液控制系统搭建；D.综合控制  系统(电+气+液+伺服+变频+HMI)搭建；</w:t>
            </w:r>
          </w:p>
          <w:p w14:paraId="47641ED8">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7.总线系统的数据检测(MPI\DP\PROF INT AS-I)</w:t>
            </w:r>
          </w:p>
          <w:p w14:paraId="6C859456">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8.应用软件编程、仿真、调试与监控；</w:t>
            </w:r>
          </w:p>
          <w:p w14:paraId="382F86F3">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9.仪器仪表的检测检查；</w:t>
            </w:r>
          </w:p>
          <w:p w14:paraId="6B024D88">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10.综合PLC控制系统编程、调试；</w:t>
            </w:r>
          </w:p>
          <w:p w14:paraId="60309EF0">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11.运行数据分析；</w:t>
            </w:r>
          </w:p>
          <w:p w14:paraId="58AA405C">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12.技术文档编制与版本管理；</w:t>
            </w:r>
          </w:p>
          <w:p w14:paraId="770142C9">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13.HSE健康、安全、环保规定执行。</w:t>
            </w:r>
          </w:p>
        </w:tc>
      </w:tr>
      <w:tr w14:paraId="168BF8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39E5C">
            <w:pPr>
              <w:keepNext w:val="0"/>
              <w:keepLines w:val="0"/>
              <w:pageBreakBefore w:val="0"/>
              <w:wordWrap/>
              <w:overflowPunct/>
              <w:topLinePunct w:val="0"/>
              <w:bidi w:val="0"/>
              <w:adjustRightInd w:val="0"/>
              <w:snapToGrid w:val="0"/>
              <w:spacing w:line="240" w:lineRule="auto"/>
              <w:jc w:val="center"/>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10</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A0AFE">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学习领域10:装配与拆卸的规划</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B45C5">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设备文档建立；机械装配图、电气原理图、液压与气动工作原理图；进行能量流分析；整理设备和系统的工作参数、运行数据；制定设备装配工艺和电气施工工艺；绘制工业网络协议组态流程图；制作检测检修流程图；制定故障检修计划和实施方案；编写设备装配工作说明书。</w:t>
            </w:r>
          </w:p>
        </w:tc>
        <w:tc>
          <w:tcPr>
            <w:tcW w:w="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777D1">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选择检测和装配工具和仪器；辅助工具的选择；进行布局分析；安全分析；根据装配图进行拆卸与组装；进行部件安装调整；进行装配检测：进行能源分配。</w:t>
            </w:r>
          </w:p>
        </w:tc>
        <w:tc>
          <w:tcPr>
            <w:tcW w:w="1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EBFF6">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1.学生掌握机电一体化系统的装配、拆卸计划制定和准备工作完成。</w:t>
            </w:r>
          </w:p>
          <w:p w14:paraId="35E6AB24">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2.解释装配、拆卸工作过程的流程，检测评判工作结果。</w:t>
            </w:r>
          </w:p>
          <w:p w14:paraId="26C5014B">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3.对健康和工作防护进行规划。</w:t>
            </w:r>
          </w:p>
          <w:p w14:paraId="436B4A37">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4.检查工作的装配条件，准备计划中必要的辅助工具。</w:t>
            </w:r>
          </w:p>
          <w:p w14:paraId="2F6B37CE">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5.组织团队工作，沟通讨论。装配说明方面的英语能力。</w:t>
            </w:r>
          </w:p>
        </w:tc>
        <w:tc>
          <w:tcPr>
            <w:tcW w:w="1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0B550">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1.装配工具、仪表的选择及使用；</w:t>
            </w:r>
          </w:p>
          <w:p w14:paraId="48E5A813">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2.装配文档的建立；</w:t>
            </w:r>
          </w:p>
          <w:p w14:paraId="1501CFA4">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3.工艺图的绘制；</w:t>
            </w:r>
          </w:p>
          <w:p w14:paraId="69C998C9">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4.工艺与装配流程图；</w:t>
            </w:r>
          </w:p>
          <w:p w14:paraId="7742250F">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5.装配、拆卸计划的制定；</w:t>
            </w:r>
          </w:p>
          <w:p w14:paraId="2E2D4999">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6.运输、吊装和装配辅助工具；</w:t>
            </w:r>
          </w:p>
          <w:p w14:paraId="541AD19A">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7.能源系统地分配与搭建；</w:t>
            </w:r>
          </w:p>
          <w:p w14:paraId="4D360E92">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8.装配测量与记录整理；</w:t>
            </w:r>
          </w:p>
          <w:p w14:paraId="0FCDB8A9">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9.工艺更改与调整；</w:t>
            </w:r>
          </w:p>
          <w:p w14:paraId="7417D97A">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10.设备说明书的编制；</w:t>
            </w:r>
          </w:p>
          <w:p w14:paraId="3354D6BF">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11.5S管理。</w:t>
            </w:r>
          </w:p>
        </w:tc>
      </w:tr>
      <w:tr w14:paraId="35EC03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DA4C8">
            <w:pPr>
              <w:keepNext w:val="0"/>
              <w:keepLines w:val="0"/>
              <w:pageBreakBefore w:val="0"/>
              <w:wordWrap/>
              <w:overflowPunct/>
              <w:topLinePunct w:val="0"/>
              <w:bidi w:val="0"/>
              <w:adjustRightInd w:val="0"/>
              <w:snapToGrid w:val="0"/>
              <w:spacing w:line="240" w:lineRule="auto"/>
              <w:jc w:val="center"/>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11</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ED400">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学习领域11:机电一体化系统的故障排除</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12771">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明确维修任务；读懂机械装配图、电气原理图、液压与气动工作原理图；了解设备和系统的工作参数、设备和系统的工作原理；掌握设备装配工艺和电气施工工艺；工业网络协议；制作故障检修流程图；制定故障检修计划和实施方案；编写维修工作说明。</w:t>
            </w:r>
          </w:p>
        </w:tc>
        <w:tc>
          <w:tcPr>
            <w:tcW w:w="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B1EEA">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选择检测和维修工具和量程；诊断机械系统、电气系统、液压气动控制系统的常见故障；专业仪器仪表的使用；工业网络数据监测；检修工业网络故障；排除设备和整线的故障。</w:t>
            </w:r>
          </w:p>
        </w:tc>
        <w:tc>
          <w:tcPr>
            <w:tcW w:w="1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8A322">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1.描述一个系统的总功能和分工功能并包括其保护装置，同时从技术材料中提取信息。</w:t>
            </w:r>
          </w:p>
          <w:p w14:paraId="0D8B7E64">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2.解释总系统上的部件影响，根据接口检测测试其功能。</w:t>
            </w:r>
          </w:p>
          <w:p w14:paraId="2E8DB166">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3.掌握必要的测量方法，并明确使用。</w:t>
            </w:r>
          </w:p>
          <w:p w14:paraId="451FA3F4">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4.阐述机电一体化系统调试的方法，确定总系统调试的策略。5.使用可能的诊断系统，阐述功能和错误记录报告。</w:t>
            </w:r>
          </w:p>
          <w:p w14:paraId="4C7E319A">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6.检测防护错误的作用。</w:t>
            </w:r>
          </w:p>
          <w:p w14:paraId="6E64BB55">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7.调整传感器，制动器，测试系统参数并调节。</w:t>
            </w:r>
          </w:p>
          <w:p w14:paraId="1820DA81">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8.在材料中记录结果。</w:t>
            </w:r>
          </w:p>
          <w:p w14:paraId="0AB9F721">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9.分析系统错误，并清除错误。</w:t>
            </w:r>
          </w:p>
        </w:tc>
        <w:tc>
          <w:tcPr>
            <w:tcW w:w="1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DFAA56">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1.维修工具、仪器的选择及使用；</w:t>
            </w:r>
          </w:p>
          <w:p w14:paraId="03CA75DF">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2.查看设备维修手册及资料汇总(系统参数、总线配置、软件安装);</w:t>
            </w:r>
          </w:p>
          <w:p w14:paraId="66554AE2">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3.讨论分析故障原因，错误查找的策略及典型错误原因；</w:t>
            </w:r>
          </w:p>
          <w:p w14:paraId="47111A17">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4.电动、气动和液压故障的排除流程图；</w:t>
            </w:r>
          </w:p>
          <w:p w14:paraId="7974D3C6">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5.传感器、驱动和执行机构的检测与调整；</w:t>
            </w:r>
          </w:p>
          <w:p w14:paraId="4DDEABA9">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6.电气和机械保护措施，安全保护设计；</w:t>
            </w:r>
          </w:p>
          <w:p w14:paraId="606B7C69">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7.实施维修计划；</w:t>
            </w:r>
          </w:p>
          <w:p w14:paraId="179F3D74">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8.应用专业软件，检查过程的可视性，诊断系统的检测，远程诊断协作；</w:t>
            </w:r>
          </w:p>
          <w:p w14:paraId="42045FC1">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9.整线调试运行；</w:t>
            </w:r>
          </w:p>
          <w:p w14:paraId="4B93F782">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10.检验维修结果报告；</w:t>
            </w:r>
          </w:p>
          <w:p w14:paraId="577DB74F">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11.制定维修工作说明；</w:t>
            </w:r>
          </w:p>
          <w:p w14:paraId="68789B36">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12.归档维修记录(调试记录，错误汇编，维修记录)；</w:t>
            </w:r>
          </w:p>
          <w:p w14:paraId="42D58186">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13.审议客户需求；</w:t>
            </w:r>
          </w:p>
          <w:p w14:paraId="1BA57FAF">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14.质量保证程序。</w:t>
            </w:r>
          </w:p>
        </w:tc>
      </w:tr>
      <w:tr w14:paraId="30D8E7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69829">
            <w:pPr>
              <w:keepNext w:val="0"/>
              <w:keepLines w:val="0"/>
              <w:pageBreakBefore w:val="0"/>
              <w:wordWrap/>
              <w:overflowPunct/>
              <w:topLinePunct w:val="0"/>
              <w:bidi w:val="0"/>
              <w:adjustRightInd w:val="0"/>
              <w:snapToGrid w:val="0"/>
              <w:spacing w:line="240" w:lineRule="auto"/>
              <w:jc w:val="center"/>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12</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81454">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学习领域12:机电一体化系统预防性维护</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48538">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润滑相关知识(油品);设备备品、备件管理；机械材料部件的寿命检测；制定维护保养计划；技术资料管理；安全劳动保；5S管理。</w:t>
            </w:r>
          </w:p>
        </w:tc>
        <w:tc>
          <w:tcPr>
            <w:tcW w:w="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D0563">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专用设备操作；工具使用；设备检测与恢复；设备的安全检测；计划制定与实施；工作文件使用(各种记录表)。</w:t>
            </w:r>
          </w:p>
        </w:tc>
        <w:tc>
          <w:tcPr>
            <w:tcW w:w="1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73B68B">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1.描述技术系统在操作安全方面的影响和必要预防性维护。</w:t>
            </w:r>
          </w:p>
          <w:p w14:paraId="16749E2B">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2.使用维护计划和确定维护需求的方法。</w:t>
            </w:r>
          </w:p>
          <w:p w14:paraId="04437095">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3.检测，调节和调准安全装置。注意健康和工作防护的规则。制定错误分</w:t>
            </w:r>
          </w:p>
          <w:p w14:paraId="68F6CB66">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4.析，编辑统计结果。</w:t>
            </w:r>
          </w:p>
          <w:p w14:paraId="5886F1CF">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5.维护工作的效果在材料中记录、说明。</w:t>
            </w:r>
          </w:p>
          <w:p w14:paraId="765FF97C">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6.资料可以用英语编辑。</w:t>
            </w:r>
          </w:p>
        </w:tc>
        <w:tc>
          <w:tcPr>
            <w:tcW w:w="1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1CE4D">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1.查看设备维修手册、使用说明 书及相关资料；</w:t>
            </w:r>
          </w:p>
          <w:p w14:paraId="6FB03B4C">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2.维护保养工具的选择及使用；</w:t>
            </w:r>
          </w:p>
          <w:p w14:paraId="05B4ADD9">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3.设备运行状态的诊断(污染、疲劳、燃料消耗、磨损及其影响)；</w:t>
            </w:r>
          </w:p>
          <w:p w14:paraId="0F087119">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4.制定维护、保养计划；</w:t>
            </w:r>
          </w:p>
          <w:p w14:paraId="1586D69C">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5.制定维护保养规范、要求、步骤；</w:t>
            </w:r>
          </w:p>
          <w:p w14:paraId="4B6FACB9">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6.实施维护保养计划；</w:t>
            </w:r>
          </w:p>
          <w:p w14:paraId="02F66FE1">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7.保养部件检测与恢复；</w:t>
            </w:r>
          </w:p>
          <w:p w14:paraId="5C7F0D01">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8.安全性能检测与恢复(系统可 靠性、安全装置检测程序)；</w:t>
            </w:r>
          </w:p>
          <w:p w14:paraId="64C88637">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9.专业检测软件、设备的应用；</w:t>
            </w:r>
          </w:p>
          <w:p w14:paraId="5CD5086A">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10.55管理；</w:t>
            </w:r>
          </w:p>
          <w:p w14:paraId="2C35FD9F">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11.维护保养记录归档；</w:t>
            </w:r>
          </w:p>
          <w:p w14:paraId="6BDFF3AB">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12.专用工具的制作；</w:t>
            </w:r>
          </w:p>
          <w:p w14:paraId="0AF19E6F">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13.备品备件管理与成本核算；</w:t>
            </w:r>
          </w:p>
          <w:p w14:paraId="50BD6FAE">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14.质量管理；</w:t>
            </w:r>
          </w:p>
          <w:p w14:paraId="4272DB4B">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15.HSE健康、安全、环保管理。</w:t>
            </w:r>
          </w:p>
        </w:tc>
      </w:tr>
      <w:tr w14:paraId="7A0B3A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673E8">
            <w:pPr>
              <w:keepNext w:val="0"/>
              <w:keepLines w:val="0"/>
              <w:pageBreakBefore w:val="0"/>
              <w:wordWrap/>
              <w:overflowPunct/>
              <w:topLinePunct w:val="0"/>
              <w:bidi w:val="0"/>
              <w:adjustRightInd w:val="0"/>
              <w:snapToGrid w:val="0"/>
              <w:spacing w:line="240" w:lineRule="auto"/>
              <w:jc w:val="center"/>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13</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4BBAB">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学习领域13:机电一体化系统的移交</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6C1969">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办公软件；企业管理流程；绘制框图与流程图；设备功能分析；计划工作步骤和过程。</w:t>
            </w:r>
          </w:p>
        </w:tc>
        <w:tc>
          <w:tcPr>
            <w:tcW w:w="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A8553">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户的沟通交流；会查阅资料解答客户问题；能正确使用专业术语进行描述；进行机电一体化设备功能关系介绍与性能展示；可以根据说明手册进行材料介绍、动力  源分析、工艺分析。</w:t>
            </w:r>
          </w:p>
        </w:tc>
        <w:tc>
          <w:tcPr>
            <w:tcW w:w="1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4F1CA">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1.用文字和图形准备机电一体化系统的信息，并演示。</w:t>
            </w:r>
          </w:p>
          <w:p w14:paraId="53D02B81">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2.为设备中的操作和售后人员制定说明并实施。</w:t>
            </w:r>
          </w:p>
          <w:p w14:paraId="0C1324E6">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3.用英语交流信息。</w:t>
            </w:r>
          </w:p>
          <w:p w14:paraId="31A804F0">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4.必须考虑客户和企业市场战略背景。</w:t>
            </w:r>
          </w:p>
        </w:tc>
        <w:tc>
          <w:tcPr>
            <w:tcW w:w="1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88B38">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1.办公系统的使用；</w:t>
            </w:r>
          </w:p>
          <w:p w14:paraId="291583B0">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2.建立各环节的合作协调；</w:t>
            </w:r>
          </w:p>
          <w:p w14:paraId="6EBB0DF9">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3.建立客户、商务、生产间的通讯沟通；</w:t>
            </w:r>
          </w:p>
          <w:p w14:paraId="439A1460">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4.制作设备展示模板与演示资料；</w:t>
            </w:r>
          </w:p>
          <w:p w14:paraId="4526B69E">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5.客户与供应商关系；</w:t>
            </w:r>
          </w:p>
          <w:p w14:paraId="637A1434">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6.确定使用手册、产品操作指导书；</w:t>
            </w:r>
          </w:p>
          <w:p w14:paraId="4B527385">
            <w:pPr>
              <w:keepNext w:val="0"/>
              <w:keepLines w:val="0"/>
              <w:pageBreakBefore w:val="0"/>
              <w:widowControl w:val="0"/>
              <w:kinsoku/>
              <w:wordWrap/>
              <w:overflowPunct/>
              <w:topLinePunct w:val="0"/>
              <w:autoSpaceDE/>
              <w:autoSpaceDN/>
              <w:bidi w:val="0"/>
              <w:adjustRightInd w:val="0"/>
              <w:snapToGrid w:val="0"/>
              <w:spacing w:line="240" w:lineRule="auto"/>
              <w:ind w:left="-42" w:leftChars="-20" w:right="-42" w:rightChars="-20"/>
              <w:jc w:val="left"/>
              <w:textAlignment w:val="auto"/>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zh-CN"/>
              </w:rPr>
              <w:t>7.企业管理。</w:t>
            </w:r>
          </w:p>
        </w:tc>
      </w:tr>
    </w:tbl>
    <w:p w14:paraId="1A36D74E">
      <w:pPr>
        <w:adjustRightInd w:val="0"/>
        <w:snapToGrid w:val="0"/>
        <w:spacing w:line="380" w:lineRule="exact"/>
        <w:ind w:firstLine="480" w:firstLineChars="200"/>
        <w:rPr>
          <w:rFonts w:hint="eastAsia" w:ascii="方正黑体简体" w:hAnsi="楷体" w:eastAsia="方正黑体简体" w:cs="MS Gothic"/>
          <w:color w:val="C00000"/>
          <w:sz w:val="24"/>
        </w:rPr>
        <w:sectPr>
          <w:pgSz w:w="16838" w:h="11906" w:orient="landscape"/>
          <w:pgMar w:top="1247" w:right="1134" w:bottom="1247" w:left="1701" w:header="680" w:footer="1446" w:gutter="0"/>
          <w:pgNumType w:fmt="decimal" w:start="1"/>
          <w:cols w:space="720" w:num="1"/>
          <w:docGrid w:linePitch="312" w:charSpace="0"/>
        </w:sectPr>
      </w:pPr>
    </w:p>
    <w:p w14:paraId="7A5612EE">
      <w:pPr>
        <w:adjustRightInd w:val="0"/>
        <w:snapToGrid w:val="0"/>
        <w:spacing w:before="120" w:beforeLines="50" w:after="120" w:afterLines="50" w:line="380" w:lineRule="exact"/>
        <w:ind w:firstLine="560" w:firstLineChars="200"/>
        <w:rPr>
          <w:rFonts w:hint="eastAsia" w:ascii="方正黑体简体" w:hAnsi="楷体" w:eastAsia="方正黑体简体" w:cs="MS Gothic"/>
          <w:color w:val="000000"/>
          <w:sz w:val="28"/>
          <w:szCs w:val="28"/>
        </w:rPr>
      </w:pPr>
      <w:r>
        <w:rPr>
          <w:rFonts w:hint="eastAsia" w:ascii="方正黑体简体" w:hAnsi="楷体" w:eastAsia="方正黑体简体" w:cs="MS Gothic"/>
          <w:color w:val="000000"/>
          <w:sz w:val="28"/>
          <w:szCs w:val="28"/>
          <w:lang w:val="en-US" w:eastAsia="zh-CN"/>
        </w:rPr>
        <w:t>八、教学进程总体安排</w:t>
      </w:r>
    </w:p>
    <w:p w14:paraId="7603D4C8">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r>
        <w:rPr>
          <w:rFonts w:hint="eastAsia" w:ascii="方正黑体简体" w:hAnsi="楷体" w:eastAsia="方正黑体简体" w:cs="MS Gothic"/>
          <w:color w:val="000000"/>
          <w:sz w:val="24"/>
          <w:lang w:val="en-US" w:eastAsia="zh-CN"/>
        </w:rPr>
        <w:t>（一）专业教学计划表</w:t>
      </w:r>
    </w:p>
    <w:p w14:paraId="3065ED65">
      <w:pPr>
        <w:keepNext w:val="0"/>
        <w:keepLines w:val="0"/>
        <w:pageBreakBefore w:val="0"/>
        <w:widowControl/>
        <w:kinsoku/>
        <w:wordWrap/>
        <w:overflowPunct/>
        <w:topLinePunct w:val="0"/>
        <w:bidi w:val="0"/>
        <w:spacing w:before="123" w:line="241" w:lineRule="auto"/>
        <w:ind w:left="686"/>
        <w:jc w:val="center"/>
        <w:rPr>
          <w:rFonts w:ascii="黑体" w:hAnsi="黑体" w:eastAsia="黑体" w:cs="黑体"/>
          <w:spacing w:val="-3"/>
          <w:sz w:val="24"/>
          <w:szCs w:val="24"/>
        </w:rPr>
      </w:pPr>
      <w:r>
        <w:rPr>
          <w:rFonts w:ascii="黑体" w:hAnsi="黑体" w:eastAsia="黑体" w:cs="黑体"/>
          <w:spacing w:val="-3"/>
          <w:sz w:val="24"/>
          <w:szCs w:val="24"/>
        </w:rPr>
        <w:t>表</w:t>
      </w:r>
      <w:r>
        <w:rPr>
          <w:rFonts w:hint="eastAsia" w:ascii="黑体" w:hAnsi="黑体" w:eastAsia="黑体" w:cs="黑体"/>
          <w:spacing w:val="-3"/>
          <w:sz w:val="24"/>
          <w:szCs w:val="24"/>
          <w:lang w:val="en-US" w:eastAsia="zh-CN"/>
        </w:rPr>
        <w:t>4  机电一体化技术（SGAVE项目智能制造方向）专</w:t>
      </w:r>
      <w:r>
        <w:rPr>
          <w:rFonts w:ascii="黑体" w:hAnsi="黑体" w:eastAsia="黑体" w:cs="黑体"/>
          <w:spacing w:val="-3"/>
          <w:sz w:val="24"/>
          <w:szCs w:val="24"/>
        </w:rPr>
        <w:t>业教学计划表</w:t>
      </w:r>
    </w:p>
    <w:tbl>
      <w:tblPr>
        <w:tblStyle w:val="14"/>
        <w:tblW w:w="493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40"/>
        <w:gridCol w:w="240"/>
        <w:gridCol w:w="344"/>
        <w:gridCol w:w="422"/>
        <w:gridCol w:w="2776"/>
        <w:gridCol w:w="474"/>
        <w:gridCol w:w="635"/>
        <w:gridCol w:w="473"/>
        <w:gridCol w:w="428"/>
        <w:gridCol w:w="374"/>
        <w:gridCol w:w="380"/>
        <w:gridCol w:w="341"/>
        <w:gridCol w:w="384"/>
        <w:gridCol w:w="378"/>
        <w:gridCol w:w="307"/>
        <w:gridCol w:w="403"/>
        <w:gridCol w:w="403"/>
        <w:gridCol w:w="492"/>
      </w:tblGrid>
      <w:tr w14:paraId="4D93EC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25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8AEF9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b/>
                <w:bCs/>
                <w:i w:val="0"/>
                <w:iCs w:val="0"/>
                <w:color w:val="auto"/>
                <w:sz w:val="19"/>
                <w:szCs w:val="19"/>
                <w:u w:val="none"/>
              </w:rPr>
            </w:pPr>
            <w:r>
              <w:rPr>
                <w:rFonts w:hint="eastAsia" w:ascii="方正书宋简体" w:hAnsi="方正书宋简体" w:eastAsia="方正书宋简体" w:cs="方正书宋简体"/>
                <w:b/>
                <w:bCs/>
                <w:i w:val="0"/>
                <w:iCs w:val="0"/>
                <w:color w:val="auto"/>
                <w:kern w:val="0"/>
                <w:sz w:val="19"/>
                <w:szCs w:val="19"/>
                <w:u w:val="none"/>
                <w:lang w:val="en-US" w:eastAsia="zh-CN" w:bidi="ar"/>
              </w:rPr>
              <w:t>课程</w:t>
            </w:r>
            <w:r>
              <w:rPr>
                <w:rFonts w:hint="eastAsia" w:ascii="方正书宋简体" w:hAnsi="方正书宋简体" w:eastAsia="方正书宋简体" w:cs="方正书宋简体"/>
                <w:b/>
                <w:bCs/>
                <w:i w:val="0"/>
                <w:iCs w:val="0"/>
                <w:color w:val="auto"/>
                <w:kern w:val="0"/>
                <w:sz w:val="19"/>
                <w:szCs w:val="19"/>
                <w:u w:val="none"/>
                <w:lang w:val="en-US" w:eastAsia="zh-CN" w:bidi="ar"/>
              </w:rPr>
              <w:br w:type="textWrapping"/>
            </w:r>
            <w:r>
              <w:rPr>
                <w:rFonts w:hint="eastAsia" w:ascii="方正书宋简体" w:hAnsi="方正书宋简体" w:eastAsia="方正书宋简体" w:cs="方正书宋简体"/>
                <w:b/>
                <w:bCs/>
                <w:i w:val="0"/>
                <w:iCs w:val="0"/>
                <w:color w:val="auto"/>
                <w:kern w:val="0"/>
                <w:sz w:val="19"/>
                <w:szCs w:val="19"/>
                <w:u w:val="none"/>
                <w:lang w:val="en-US" w:eastAsia="zh-CN" w:bidi="ar"/>
              </w:rPr>
              <w:t>属性</w:t>
            </w:r>
          </w:p>
        </w:tc>
        <w:tc>
          <w:tcPr>
            <w:tcW w:w="18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4502C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b/>
                <w:bCs/>
                <w:i w:val="0"/>
                <w:iCs w:val="0"/>
                <w:color w:val="auto"/>
                <w:sz w:val="19"/>
                <w:szCs w:val="19"/>
                <w:u w:val="none"/>
              </w:rPr>
            </w:pPr>
            <w:r>
              <w:rPr>
                <w:rFonts w:hint="eastAsia" w:ascii="方正书宋简体" w:hAnsi="方正书宋简体" w:eastAsia="方正书宋简体" w:cs="方正书宋简体"/>
                <w:b/>
                <w:bCs/>
                <w:i w:val="0"/>
                <w:iCs w:val="0"/>
                <w:color w:val="auto"/>
                <w:kern w:val="0"/>
                <w:sz w:val="19"/>
                <w:szCs w:val="19"/>
                <w:u w:val="none"/>
                <w:lang w:val="en-US" w:eastAsia="zh-CN" w:bidi="ar"/>
              </w:rPr>
              <w:t>课程</w:t>
            </w:r>
            <w:r>
              <w:rPr>
                <w:rFonts w:hint="eastAsia" w:ascii="方正书宋简体" w:hAnsi="方正书宋简体" w:eastAsia="方正书宋简体" w:cs="方正书宋简体"/>
                <w:b/>
                <w:bCs/>
                <w:i w:val="0"/>
                <w:iCs w:val="0"/>
                <w:color w:val="auto"/>
                <w:kern w:val="0"/>
                <w:sz w:val="19"/>
                <w:szCs w:val="19"/>
                <w:u w:val="none"/>
                <w:lang w:val="en-US" w:eastAsia="zh-CN" w:bidi="ar"/>
              </w:rPr>
              <w:br w:type="textWrapping"/>
            </w:r>
            <w:r>
              <w:rPr>
                <w:rFonts w:hint="eastAsia" w:ascii="方正书宋简体" w:hAnsi="方正书宋简体" w:eastAsia="方正书宋简体" w:cs="方正书宋简体"/>
                <w:b/>
                <w:bCs/>
                <w:i w:val="0"/>
                <w:iCs w:val="0"/>
                <w:color w:val="auto"/>
                <w:kern w:val="0"/>
                <w:sz w:val="19"/>
                <w:szCs w:val="19"/>
                <w:u w:val="none"/>
                <w:lang w:val="en-US" w:eastAsia="zh-CN" w:bidi="ar"/>
              </w:rPr>
              <w:t>性质</w:t>
            </w:r>
          </w:p>
        </w:tc>
        <w:tc>
          <w:tcPr>
            <w:tcW w:w="2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EBF54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b/>
                <w:bCs/>
                <w:i w:val="0"/>
                <w:iCs w:val="0"/>
                <w:color w:val="auto"/>
                <w:sz w:val="19"/>
                <w:szCs w:val="19"/>
                <w:u w:val="none"/>
              </w:rPr>
            </w:pPr>
            <w:r>
              <w:rPr>
                <w:rFonts w:hint="eastAsia" w:ascii="方正书宋简体" w:hAnsi="方正书宋简体" w:eastAsia="方正书宋简体" w:cs="方正书宋简体"/>
                <w:b/>
                <w:bCs/>
                <w:i w:val="0"/>
                <w:iCs w:val="0"/>
                <w:color w:val="auto"/>
                <w:kern w:val="0"/>
                <w:sz w:val="19"/>
                <w:szCs w:val="19"/>
                <w:u w:val="none"/>
                <w:lang w:val="en-US" w:eastAsia="zh-CN" w:bidi="ar"/>
              </w:rPr>
              <w:t>序号</w:t>
            </w:r>
          </w:p>
        </w:tc>
        <w:tc>
          <w:tcPr>
            <w:tcW w:w="146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57751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b/>
                <w:bCs/>
                <w:i w:val="0"/>
                <w:iCs w:val="0"/>
                <w:color w:val="auto"/>
                <w:sz w:val="19"/>
                <w:szCs w:val="19"/>
                <w:u w:val="none"/>
              </w:rPr>
            </w:pPr>
            <w:r>
              <w:rPr>
                <w:rFonts w:hint="eastAsia" w:ascii="方正书宋简体" w:hAnsi="方正书宋简体" w:eastAsia="方正书宋简体" w:cs="方正书宋简体"/>
                <w:b/>
                <w:bCs/>
                <w:i w:val="0"/>
                <w:iCs w:val="0"/>
                <w:color w:val="auto"/>
                <w:kern w:val="0"/>
                <w:sz w:val="19"/>
                <w:szCs w:val="19"/>
                <w:u w:val="none"/>
                <w:lang w:val="en-US" w:eastAsia="zh-CN" w:bidi="ar"/>
              </w:rPr>
              <w:t>课程名称</w:t>
            </w:r>
          </w:p>
        </w:tc>
        <w:tc>
          <w:tcPr>
            <w:tcW w:w="24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40011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b/>
                <w:bCs/>
                <w:i w:val="0"/>
                <w:iCs w:val="0"/>
                <w:color w:val="auto"/>
                <w:sz w:val="19"/>
                <w:szCs w:val="19"/>
                <w:u w:val="none"/>
              </w:rPr>
            </w:pPr>
            <w:r>
              <w:rPr>
                <w:rFonts w:hint="eastAsia" w:ascii="方正书宋简体" w:hAnsi="方正书宋简体" w:eastAsia="方正书宋简体" w:cs="方正书宋简体"/>
                <w:b/>
                <w:bCs/>
                <w:i w:val="0"/>
                <w:iCs w:val="0"/>
                <w:color w:val="auto"/>
                <w:kern w:val="0"/>
                <w:sz w:val="19"/>
                <w:szCs w:val="19"/>
                <w:u w:val="none"/>
                <w:lang w:val="en-US" w:eastAsia="zh-CN" w:bidi="ar"/>
              </w:rPr>
              <w:t>学分</w:t>
            </w:r>
          </w:p>
        </w:tc>
        <w:tc>
          <w:tcPr>
            <w:tcW w:w="3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15E97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b/>
                <w:bCs/>
                <w:i w:val="0"/>
                <w:iCs w:val="0"/>
                <w:color w:val="auto"/>
                <w:sz w:val="19"/>
                <w:szCs w:val="19"/>
                <w:u w:val="none"/>
              </w:rPr>
            </w:pPr>
            <w:r>
              <w:rPr>
                <w:rFonts w:hint="eastAsia" w:ascii="方正书宋简体" w:hAnsi="方正书宋简体" w:eastAsia="方正书宋简体" w:cs="方正书宋简体"/>
                <w:b/>
                <w:bCs/>
                <w:i w:val="0"/>
                <w:iCs w:val="0"/>
                <w:color w:val="auto"/>
                <w:kern w:val="0"/>
                <w:sz w:val="19"/>
                <w:szCs w:val="19"/>
                <w:u w:val="none"/>
                <w:lang w:val="en-US" w:eastAsia="zh-CN" w:bidi="ar"/>
              </w:rPr>
              <w:t>总学时</w:t>
            </w:r>
          </w:p>
        </w:tc>
        <w:tc>
          <w:tcPr>
            <w:tcW w:w="4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7549E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b/>
                <w:bCs/>
                <w:i w:val="0"/>
                <w:iCs w:val="0"/>
                <w:color w:val="auto"/>
                <w:sz w:val="19"/>
                <w:szCs w:val="19"/>
                <w:u w:val="none"/>
              </w:rPr>
            </w:pPr>
            <w:r>
              <w:rPr>
                <w:rFonts w:hint="eastAsia" w:ascii="方正书宋简体" w:hAnsi="方正书宋简体" w:eastAsia="方正书宋简体" w:cs="方正书宋简体"/>
                <w:b/>
                <w:bCs/>
                <w:i w:val="0"/>
                <w:iCs w:val="0"/>
                <w:color w:val="auto"/>
                <w:kern w:val="0"/>
                <w:sz w:val="19"/>
                <w:szCs w:val="19"/>
                <w:u w:val="none"/>
                <w:lang w:val="en-US" w:eastAsia="zh-CN" w:bidi="ar"/>
              </w:rPr>
              <w:t>学时分配</w:t>
            </w:r>
          </w:p>
        </w:tc>
        <w:tc>
          <w:tcPr>
            <w:tcW w:w="113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DFF2A3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b/>
                <w:bCs/>
                <w:i w:val="0"/>
                <w:iCs w:val="0"/>
                <w:color w:val="auto"/>
                <w:sz w:val="19"/>
                <w:szCs w:val="19"/>
                <w:u w:val="none"/>
              </w:rPr>
            </w:pPr>
            <w:r>
              <w:rPr>
                <w:rFonts w:hint="eastAsia" w:ascii="方正书宋简体" w:hAnsi="方正书宋简体" w:eastAsia="方正书宋简体" w:cs="方正书宋简体"/>
                <w:b/>
                <w:bCs/>
                <w:i w:val="0"/>
                <w:iCs w:val="0"/>
                <w:color w:val="auto"/>
                <w:kern w:val="0"/>
                <w:sz w:val="19"/>
                <w:szCs w:val="19"/>
                <w:u w:val="none"/>
                <w:lang w:val="en-US" w:eastAsia="zh-CN" w:bidi="ar"/>
              </w:rPr>
              <w:t>开课学期与周学时</w:t>
            </w:r>
          </w:p>
        </w:tc>
        <w:tc>
          <w:tcPr>
            <w:tcW w:w="21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B03F5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b/>
                <w:bCs/>
                <w:i w:val="0"/>
                <w:iCs w:val="0"/>
                <w:color w:val="auto"/>
                <w:sz w:val="19"/>
                <w:szCs w:val="19"/>
                <w:u w:val="none"/>
              </w:rPr>
            </w:pPr>
            <w:r>
              <w:rPr>
                <w:rFonts w:hint="eastAsia" w:ascii="方正书宋简体" w:hAnsi="方正书宋简体" w:eastAsia="方正书宋简体" w:cs="方正书宋简体"/>
                <w:b/>
                <w:bCs/>
                <w:i w:val="0"/>
                <w:iCs w:val="0"/>
                <w:color w:val="auto"/>
                <w:kern w:val="0"/>
                <w:sz w:val="19"/>
                <w:szCs w:val="19"/>
                <w:u w:val="none"/>
                <w:lang w:val="en-US" w:eastAsia="zh-CN" w:bidi="ar"/>
              </w:rPr>
              <w:t>课程类型</w:t>
            </w:r>
          </w:p>
        </w:tc>
        <w:tc>
          <w:tcPr>
            <w:tcW w:w="21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72146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b/>
                <w:bCs/>
                <w:i w:val="0"/>
                <w:iCs w:val="0"/>
                <w:color w:val="auto"/>
                <w:sz w:val="19"/>
                <w:szCs w:val="19"/>
                <w:u w:val="none"/>
              </w:rPr>
            </w:pPr>
            <w:r>
              <w:rPr>
                <w:rFonts w:hint="eastAsia" w:ascii="方正书宋简体" w:hAnsi="方正书宋简体" w:eastAsia="方正书宋简体" w:cs="方正书宋简体"/>
                <w:b/>
                <w:bCs/>
                <w:i w:val="0"/>
                <w:iCs w:val="0"/>
                <w:color w:val="auto"/>
                <w:kern w:val="0"/>
                <w:sz w:val="19"/>
                <w:szCs w:val="19"/>
                <w:u w:val="none"/>
                <w:lang w:val="en-US" w:eastAsia="zh-CN" w:bidi="ar"/>
              </w:rPr>
              <w:t>考试形式</w:t>
            </w:r>
          </w:p>
        </w:tc>
        <w:tc>
          <w:tcPr>
            <w:tcW w:w="25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3AB56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b/>
                <w:bCs/>
                <w:i w:val="0"/>
                <w:iCs w:val="0"/>
                <w:color w:val="auto"/>
                <w:sz w:val="19"/>
                <w:szCs w:val="19"/>
                <w:u w:val="none"/>
              </w:rPr>
            </w:pPr>
            <w:r>
              <w:rPr>
                <w:rFonts w:hint="eastAsia" w:ascii="方正书宋简体" w:hAnsi="方正书宋简体" w:eastAsia="方正书宋简体" w:cs="方正书宋简体"/>
                <w:b/>
                <w:bCs/>
                <w:i w:val="0"/>
                <w:iCs w:val="0"/>
                <w:color w:val="auto"/>
                <w:kern w:val="0"/>
                <w:sz w:val="19"/>
                <w:szCs w:val="19"/>
                <w:u w:val="none"/>
                <w:lang w:val="en-US" w:eastAsia="zh-CN" w:bidi="ar"/>
              </w:rPr>
              <w:t>开课单位</w:t>
            </w:r>
          </w:p>
        </w:tc>
      </w:tr>
      <w:tr w14:paraId="3A7EF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25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26122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b/>
                <w:bCs/>
                <w:i w:val="0"/>
                <w:iCs w:val="0"/>
                <w:color w:val="auto"/>
                <w:sz w:val="18"/>
                <w:szCs w:val="18"/>
                <w:u w:val="none"/>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05F33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b/>
                <w:bCs/>
                <w:i w:val="0"/>
                <w:iCs w:val="0"/>
                <w:color w:val="auto"/>
                <w:sz w:val="18"/>
                <w:szCs w:val="18"/>
                <w:u w:val="none"/>
              </w:rPr>
            </w:pPr>
          </w:p>
        </w:tc>
        <w:tc>
          <w:tcPr>
            <w:tcW w:w="2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E7D8B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b/>
                <w:bCs/>
                <w:i w:val="0"/>
                <w:iCs w:val="0"/>
                <w:color w:val="auto"/>
                <w:sz w:val="18"/>
                <w:szCs w:val="18"/>
                <w:u w:val="none"/>
              </w:rPr>
            </w:pPr>
          </w:p>
        </w:tc>
        <w:tc>
          <w:tcPr>
            <w:tcW w:w="14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1C584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b/>
                <w:bCs/>
                <w:i w:val="0"/>
                <w:iCs w:val="0"/>
                <w:color w:val="auto"/>
                <w:sz w:val="18"/>
                <w:szCs w:val="18"/>
                <w:u w:val="none"/>
              </w:rPr>
            </w:pPr>
          </w:p>
        </w:tc>
        <w:tc>
          <w:tcPr>
            <w:tcW w:w="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07DCF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b/>
                <w:bCs/>
                <w:i w:val="0"/>
                <w:iCs w:val="0"/>
                <w:color w:val="auto"/>
                <w:sz w:val="18"/>
                <w:szCs w:val="18"/>
                <w:u w:val="none"/>
              </w:rPr>
            </w:pPr>
          </w:p>
        </w:tc>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B4ECD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b/>
                <w:bCs/>
                <w:i w:val="0"/>
                <w:iCs w:val="0"/>
                <w:color w:val="auto"/>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FF8C0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b/>
                <w:bCs/>
                <w:i w:val="0"/>
                <w:iCs w:val="0"/>
                <w:color w:val="auto"/>
                <w:sz w:val="19"/>
                <w:szCs w:val="19"/>
                <w:u w:val="none"/>
              </w:rPr>
            </w:pPr>
            <w:r>
              <w:rPr>
                <w:rFonts w:hint="eastAsia" w:ascii="方正书宋简体" w:hAnsi="方正书宋简体" w:eastAsia="方正书宋简体" w:cs="方正书宋简体"/>
                <w:b/>
                <w:bCs/>
                <w:i w:val="0"/>
                <w:iCs w:val="0"/>
                <w:color w:val="auto"/>
                <w:kern w:val="0"/>
                <w:sz w:val="19"/>
                <w:szCs w:val="19"/>
                <w:u w:val="none"/>
                <w:lang w:val="en-US" w:eastAsia="zh-CN" w:bidi="ar"/>
              </w:rPr>
              <w:t>理论</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5001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b/>
                <w:bCs/>
                <w:i w:val="0"/>
                <w:iCs w:val="0"/>
                <w:color w:val="auto"/>
                <w:sz w:val="19"/>
                <w:szCs w:val="19"/>
                <w:u w:val="none"/>
              </w:rPr>
            </w:pPr>
            <w:r>
              <w:rPr>
                <w:rFonts w:hint="eastAsia" w:ascii="方正书宋简体" w:hAnsi="方正书宋简体" w:eastAsia="方正书宋简体" w:cs="方正书宋简体"/>
                <w:b/>
                <w:bCs/>
                <w:i w:val="0"/>
                <w:iCs w:val="0"/>
                <w:color w:val="auto"/>
                <w:kern w:val="0"/>
                <w:sz w:val="19"/>
                <w:szCs w:val="19"/>
                <w:u w:val="none"/>
                <w:lang w:val="en-US" w:eastAsia="zh-CN" w:bidi="ar"/>
              </w:rPr>
              <w:t>实践</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F58D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b/>
                <w:bCs/>
                <w:i w:val="0"/>
                <w:iCs w:val="0"/>
                <w:color w:val="auto"/>
                <w:sz w:val="19"/>
                <w:szCs w:val="19"/>
                <w:u w:val="none"/>
              </w:rPr>
            </w:pPr>
            <w:r>
              <w:rPr>
                <w:rFonts w:hint="eastAsia" w:ascii="方正书宋简体" w:hAnsi="方正书宋简体" w:eastAsia="方正书宋简体" w:cs="方正书宋简体"/>
                <w:b/>
                <w:bCs/>
                <w:i w:val="0"/>
                <w:iCs w:val="0"/>
                <w:color w:val="auto"/>
                <w:kern w:val="0"/>
                <w:sz w:val="19"/>
                <w:szCs w:val="19"/>
                <w:u w:val="none"/>
                <w:lang w:val="en-US" w:eastAsia="zh-CN" w:bidi="ar"/>
              </w:rPr>
              <w:t>一</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3B86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b/>
                <w:bCs/>
                <w:i w:val="0"/>
                <w:iCs w:val="0"/>
                <w:color w:val="auto"/>
                <w:sz w:val="19"/>
                <w:szCs w:val="19"/>
                <w:u w:val="none"/>
              </w:rPr>
            </w:pPr>
            <w:r>
              <w:rPr>
                <w:rFonts w:hint="eastAsia" w:ascii="方正书宋简体" w:hAnsi="方正书宋简体" w:eastAsia="方正书宋简体" w:cs="方正书宋简体"/>
                <w:b/>
                <w:bCs/>
                <w:i w:val="0"/>
                <w:iCs w:val="0"/>
                <w:color w:val="auto"/>
                <w:kern w:val="0"/>
                <w:sz w:val="19"/>
                <w:szCs w:val="19"/>
                <w:u w:val="none"/>
                <w:lang w:val="en-US" w:eastAsia="zh-CN" w:bidi="ar"/>
              </w:rPr>
              <w:t>二</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1CF1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b/>
                <w:bCs/>
                <w:i w:val="0"/>
                <w:iCs w:val="0"/>
                <w:color w:val="auto"/>
                <w:sz w:val="19"/>
                <w:szCs w:val="19"/>
                <w:u w:val="none"/>
              </w:rPr>
            </w:pPr>
            <w:r>
              <w:rPr>
                <w:rFonts w:hint="eastAsia" w:ascii="方正书宋简体" w:hAnsi="方正书宋简体" w:eastAsia="方正书宋简体" w:cs="方正书宋简体"/>
                <w:b/>
                <w:bCs/>
                <w:i w:val="0"/>
                <w:iCs w:val="0"/>
                <w:color w:val="auto"/>
                <w:kern w:val="0"/>
                <w:sz w:val="19"/>
                <w:szCs w:val="19"/>
                <w:u w:val="none"/>
                <w:lang w:val="en-US" w:eastAsia="zh-CN" w:bidi="ar"/>
              </w:rPr>
              <w:t>三</w:t>
            </w: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81923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b/>
                <w:bCs/>
                <w:i w:val="0"/>
                <w:iCs w:val="0"/>
                <w:color w:val="auto"/>
                <w:sz w:val="19"/>
                <w:szCs w:val="19"/>
                <w:u w:val="none"/>
              </w:rPr>
            </w:pPr>
            <w:r>
              <w:rPr>
                <w:rFonts w:hint="eastAsia" w:ascii="方正书宋简体" w:hAnsi="方正书宋简体" w:eastAsia="方正书宋简体" w:cs="方正书宋简体"/>
                <w:b/>
                <w:bCs/>
                <w:i w:val="0"/>
                <w:iCs w:val="0"/>
                <w:color w:val="auto"/>
                <w:kern w:val="0"/>
                <w:sz w:val="19"/>
                <w:szCs w:val="19"/>
                <w:u w:val="none"/>
                <w:lang w:val="en-US" w:eastAsia="zh-CN" w:bidi="ar"/>
              </w:rPr>
              <w:t>四</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7AD2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b/>
                <w:bCs/>
                <w:i w:val="0"/>
                <w:iCs w:val="0"/>
                <w:color w:val="auto"/>
                <w:sz w:val="19"/>
                <w:szCs w:val="19"/>
                <w:u w:val="none"/>
              </w:rPr>
            </w:pPr>
            <w:r>
              <w:rPr>
                <w:rFonts w:hint="eastAsia" w:ascii="方正书宋简体" w:hAnsi="方正书宋简体" w:eastAsia="方正书宋简体" w:cs="方正书宋简体"/>
                <w:b/>
                <w:bCs/>
                <w:i w:val="0"/>
                <w:iCs w:val="0"/>
                <w:color w:val="auto"/>
                <w:kern w:val="0"/>
                <w:sz w:val="19"/>
                <w:szCs w:val="19"/>
                <w:u w:val="none"/>
                <w:lang w:val="en-US" w:eastAsia="zh-CN" w:bidi="ar"/>
              </w:rPr>
              <w:t>五</w:t>
            </w: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571D1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b/>
                <w:bCs/>
                <w:i w:val="0"/>
                <w:iCs w:val="0"/>
                <w:color w:val="auto"/>
                <w:sz w:val="19"/>
                <w:szCs w:val="19"/>
                <w:u w:val="none"/>
              </w:rPr>
            </w:pPr>
            <w:r>
              <w:rPr>
                <w:rFonts w:hint="eastAsia" w:ascii="方正书宋简体" w:hAnsi="方正书宋简体" w:eastAsia="方正书宋简体" w:cs="方正书宋简体"/>
                <w:b/>
                <w:bCs/>
                <w:i w:val="0"/>
                <w:iCs w:val="0"/>
                <w:color w:val="auto"/>
                <w:kern w:val="0"/>
                <w:sz w:val="19"/>
                <w:szCs w:val="19"/>
                <w:u w:val="none"/>
                <w:lang w:val="en-US" w:eastAsia="zh-CN" w:bidi="ar"/>
              </w:rPr>
              <w:t>六</w:t>
            </w:r>
          </w:p>
        </w:tc>
        <w:tc>
          <w:tcPr>
            <w:tcW w:w="2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4270D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b/>
                <w:bCs/>
                <w:i w:val="0"/>
                <w:iCs w:val="0"/>
                <w:color w:val="auto"/>
                <w:sz w:val="18"/>
                <w:szCs w:val="18"/>
                <w:u w:val="none"/>
              </w:rPr>
            </w:pPr>
          </w:p>
        </w:tc>
        <w:tc>
          <w:tcPr>
            <w:tcW w:w="2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C231E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b/>
                <w:bCs/>
                <w:i w:val="0"/>
                <w:iCs w:val="0"/>
                <w:color w:val="auto"/>
                <w:sz w:val="18"/>
                <w:szCs w:val="18"/>
                <w:u w:val="none"/>
              </w:rPr>
            </w:pPr>
          </w:p>
        </w:tc>
        <w:tc>
          <w:tcPr>
            <w:tcW w:w="2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1B1903">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b/>
                <w:bCs/>
                <w:i w:val="0"/>
                <w:iCs w:val="0"/>
                <w:color w:val="auto"/>
                <w:sz w:val="18"/>
                <w:szCs w:val="18"/>
                <w:u w:val="none"/>
              </w:rPr>
            </w:pPr>
          </w:p>
        </w:tc>
      </w:tr>
      <w:tr w14:paraId="40D78E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8" w:hRule="atLeast"/>
        </w:trPr>
        <w:tc>
          <w:tcPr>
            <w:tcW w:w="25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502EE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公</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共</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基</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础</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课</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程</w:t>
            </w:r>
          </w:p>
        </w:tc>
        <w:tc>
          <w:tcPr>
            <w:tcW w:w="18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13F20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必</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修</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课</w:t>
            </w: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A5A86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w:t>
            </w:r>
          </w:p>
        </w:tc>
        <w:tc>
          <w:tcPr>
            <w:tcW w:w="1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B459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入学教育及军事技能训练</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CF8C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D652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112</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1B57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0</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54CB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112</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830E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3W</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97986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4384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FA39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71A63">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2711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C834C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C</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76B1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考查</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41AA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学生处</w:t>
            </w:r>
          </w:p>
        </w:tc>
      </w:tr>
      <w:tr w14:paraId="16ADF8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25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BEBC9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DC999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AC3E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w:t>
            </w:r>
          </w:p>
        </w:tc>
        <w:tc>
          <w:tcPr>
            <w:tcW w:w="1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CFE1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思想道德与法治</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EC728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858F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54</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B6C4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48</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9DF5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6</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093E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1297D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AF81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1A61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13AD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2A28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6C01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B</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2C8F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11E58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马院</w:t>
            </w:r>
          </w:p>
        </w:tc>
      </w:tr>
      <w:tr w14:paraId="0E85A3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8" w:hRule="atLeast"/>
        </w:trPr>
        <w:tc>
          <w:tcPr>
            <w:tcW w:w="25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2920A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40D4F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8041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w:t>
            </w:r>
          </w:p>
        </w:tc>
        <w:tc>
          <w:tcPr>
            <w:tcW w:w="1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922F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毛泽东思想和中国特色社会主义理论体系概论</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50C5F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42C0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36</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63F8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32</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DBBAA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B3F7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B9E15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FF0000"/>
                <w:kern w:val="0"/>
                <w:sz w:val="18"/>
                <w:szCs w:val="18"/>
                <w:u w:val="none"/>
                <w:lang w:val="en-US" w:eastAsia="zh-CN" w:bidi="ar"/>
              </w:rPr>
              <w:t>2</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2BCB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151D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B131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9863A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C89D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B</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822C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3794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马院</w:t>
            </w:r>
          </w:p>
        </w:tc>
      </w:tr>
      <w:tr w14:paraId="34835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8" w:hRule="atLeast"/>
        </w:trPr>
        <w:tc>
          <w:tcPr>
            <w:tcW w:w="25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6A6BE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FFB1A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EA36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w:t>
            </w:r>
          </w:p>
        </w:tc>
        <w:tc>
          <w:tcPr>
            <w:tcW w:w="1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096C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新中国史</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8FAC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FAC0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16</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6AC3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16</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8D5BB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A38B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B98E2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682C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CBD4B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D3CC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7F97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B6BB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A</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0DE79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考查</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31E7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马院</w:t>
            </w:r>
          </w:p>
        </w:tc>
      </w:tr>
      <w:tr w14:paraId="436D9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25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0F059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AF421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ED15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5</w:t>
            </w:r>
          </w:p>
        </w:tc>
        <w:tc>
          <w:tcPr>
            <w:tcW w:w="1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5D426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习近平新时代中国特色社会主义思想概论</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CE11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93163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54</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C4E0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48</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4197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6</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9D0C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EA4C9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BDD0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16A0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88A3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7599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499E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B</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D165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EA02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马院</w:t>
            </w:r>
          </w:p>
        </w:tc>
      </w:tr>
      <w:tr w14:paraId="013F7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4" w:hRule="atLeast"/>
        </w:trPr>
        <w:tc>
          <w:tcPr>
            <w:tcW w:w="25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25F76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45865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9E41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6</w:t>
            </w:r>
          </w:p>
        </w:tc>
        <w:tc>
          <w:tcPr>
            <w:tcW w:w="1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FC82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※形势与政策</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408B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C561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32</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625DF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32</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C198B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0</w:t>
            </w:r>
          </w:p>
        </w:tc>
        <w:tc>
          <w:tcPr>
            <w:tcW w:w="77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DCD858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1-4学期，每学期8课时，1、4学期线上开设；2、3学期线下开设</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B22D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FCF4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CB88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A</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1CD4D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考查</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8DBD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马院</w:t>
            </w:r>
          </w:p>
        </w:tc>
      </w:tr>
      <w:tr w14:paraId="1961AF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25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1BAFA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9898F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D7E9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7</w:t>
            </w:r>
          </w:p>
        </w:tc>
        <w:tc>
          <w:tcPr>
            <w:tcW w:w="1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B932D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军事理论</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1490A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578D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36</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520C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36</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BE4D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96A3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6"/>
                <w:szCs w:val="16"/>
                <w:u w:val="none"/>
              </w:rPr>
            </w:pPr>
            <w:r>
              <w:rPr>
                <w:rFonts w:hint="eastAsia" w:ascii="方正书宋简体" w:hAnsi="方正书宋简体" w:eastAsia="方正书宋简体" w:cs="方正书宋简体"/>
                <w:i w:val="0"/>
                <w:iCs w:val="0"/>
                <w:color w:val="auto"/>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5632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08BF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6C5E0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6EB0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8A82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0613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A</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33A1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考查</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F797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马院</w:t>
            </w:r>
          </w:p>
        </w:tc>
      </w:tr>
      <w:tr w14:paraId="3FECE7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0" w:hRule="atLeast"/>
        </w:trPr>
        <w:tc>
          <w:tcPr>
            <w:tcW w:w="25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D7E29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CF60E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75D9A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8</w:t>
            </w:r>
          </w:p>
        </w:tc>
        <w:tc>
          <w:tcPr>
            <w:tcW w:w="1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DB8D5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大学体育与健康</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6B99A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6</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76C9C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108</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D84D0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6</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BC3A2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102</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124D9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3E4D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2A69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w:t>
            </w: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FA17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1D523">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6B5E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AEEA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B</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B06F5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考查</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6D13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体育部</w:t>
            </w:r>
          </w:p>
        </w:tc>
      </w:tr>
      <w:tr w14:paraId="6FEF14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8" w:hRule="atLeast"/>
        </w:trPr>
        <w:tc>
          <w:tcPr>
            <w:tcW w:w="25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E17BD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93436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4D5E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9</w:t>
            </w:r>
          </w:p>
        </w:tc>
        <w:tc>
          <w:tcPr>
            <w:tcW w:w="1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1EB72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大学生心理健康</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2D34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05CC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32</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5F9D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32</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BB90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96E3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266D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2EE6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D1CCA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D6B39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C342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0E66C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A</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25DC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考查</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D8C3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学生处</w:t>
            </w:r>
          </w:p>
        </w:tc>
      </w:tr>
      <w:tr w14:paraId="45BDE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8" w:hRule="atLeast"/>
        </w:trPr>
        <w:tc>
          <w:tcPr>
            <w:tcW w:w="25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822D3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F5B7C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AD86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10</w:t>
            </w:r>
          </w:p>
        </w:tc>
        <w:tc>
          <w:tcPr>
            <w:tcW w:w="1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B62F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新愚公核心素养</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4CAE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9401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32</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7B514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32</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58E5E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0</w:t>
            </w:r>
          </w:p>
        </w:tc>
        <w:tc>
          <w:tcPr>
            <w:tcW w:w="77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789475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6"/>
                <w:szCs w:val="16"/>
                <w:u w:val="none"/>
                <w:lang w:val="en-US" w:eastAsia="zh-CN" w:bidi="ar"/>
              </w:rPr>
              <w:t>每学期8课时</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DDDA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091D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0600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A</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D995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考查</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EAE5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学生处</w:t>
            </w:r>
          </w:p>
        </w:tc>
      </w:tr>
      <w:tr w14:paraId="19F77A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2" w:hRule="atLeast"/>
        </w:trPr>
        <w:tc>
          <w:tcPr>
            <w:tcW w:w="25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4B656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5D08B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0BC56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11</w:t>
            </w:r>
          </w:p>
        </w:tc>
        <w:tc>
          <w:tcPr>
            <w:tcW w:w="1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7272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大学生劳动教育</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68DDF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7E04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32</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888C9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16</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0431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16</w:t>
            </w:r>
          </w:p>
        </w:tc>
        <w:tc>
          <w:tcPr>
            <w:tcW w:w="77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FC8EB3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auto"/>
                <w:sz w:val="18"/>
                <w:szCs w:val="18"/>
                <w:u w:val="none"/>
                <w:lang w:val="en-US"/>
              </w:rPr>
            </w:pPr>
            <w:r>
              <w:rPr>
                <w:rFonts w:hint="eastAsia" w:ascii="方正书宋简体" w:hAnsi="方正书宋简体" w:eastAsia="方正书宋简体" w:cs="方正书宋简体"/>
                <w:i w:val="0"/>
                <w:iCs w:val="0"/>
                <w:color w:val="auto"/>
                <w:kern w:val="0"/>
                <w:sz w:val="18"/>
                <w:szCs w:val="18"/>
                <w:u w:val="none"/>
                <w:lang w:val="en-US" w:eastAsia="zh-CN" w:bidi="ar"/>
              </w:rPr>
              <w:t>1-4学期开设</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9B88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2D8F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C0CC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B</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AD89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考查</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CC54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教务处 机电工程学院</w:t>
            </w:r>
          </w:p>
        </w:tc>
      </w:tr>
      <w:tr w14:paraId="62492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25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C112E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13FBD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19FF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12</w:t>
            </w:r>
          </w:p>
        </w:tc>
        <w:tc>
          <w:tcPr>
            <w:tcW w:w="1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DD4F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国家安全</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5970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0BCB8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16</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1644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16</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78539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82F7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4"/>
                <w:szCs w:val="14"/>
                <w:u w:val="none"/>
              </w:rPr>
            </w:pPr>
            <w:r>
              <w:rPr>
                <w:rFonts w:hint="eastAsia" w:ascii="方正书宋简体" w:hAnsi="方正书宋简体" w:eastAsia="方正书宋简体" w:cs="方正书宋简体"/>
                <w:i w:val="0"/>
                <w:iCs w:val="0"/>
                <w:color w:val="auto"/>
                <w:kern w:val="0"/>
                <w:sz w:val="14"/>
                <w:szCs w:val="14"/>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29AD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4"/>
                <w:szCs w:val="14"/>
                <w:u w:val="none"/>
              </w:rPr>
            </w:pP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1428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168E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AB5F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19F4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90A1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A</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A132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考查</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FFEA2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教务处 保卫处</w:t>
            </w:r>
          </w:p>
        </w:tc>
      </w:tr>
      <w:tr w14:paraId="7C620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4" w:hRule="atLeast"/>
        </w:trPr>
        <w:tc>
          <w:tcPr>
            <w:tcW w:w="25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D2567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7D0EC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6EDB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13</w:t>
            </w:r>
          </w:p>
        </w:tc>
        <w:tc>
          <w:tcPr>
            <w:tcW w:w="1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2A2B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信息技术与人工智能基础</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4235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3.5</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F1ED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56</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A2E8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18</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E09A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38</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E823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38AA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13E40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D674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F8443">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5180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A413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B</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F534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考查</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5970D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人工智能</w:t>
            </w:r>
          </w:p>
        </w:tc>
      </w:tr>
      <w:tr w14:paraId="064C8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25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AD08E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E13B0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682F8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14</w:t>
            </w:r>
          </w:p>
        </w:tc>
        <w:tc>
          <w:tcPr>
            <w:tcW w:w="1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D079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职业生涯规划</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343FF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D7EC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20</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BDBA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20</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2F52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55685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98914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7A9A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D531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92A5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9341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7F71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A</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EBC2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考查</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FE3E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创新创业</w:t>
            </w:r>
          </w:p>
        </w:tc>
      </w:tr>
      <w:tr w14:paraId="7CA42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6" w:hRule="atLeast"/>
        </w:trPr>
        <w:tc>
          <w:tcPr>
            <w:tcW w:w="25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5417C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69D3A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CD6B8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15</w:t>
            </w:r>
          </w:p>
        </w:tc>
        <w:tc>
          <w:tcPr>
            <w:tcW w:w="1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73D9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就业指导</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6DCC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C783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18</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7582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18</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6FA9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7A5CF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880E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F9153">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AE942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E8AF7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DEAC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FC58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A</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B739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考查</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056D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创新创业</w:t>
            </w:r>
          </w:p>
        </w:tc>
      </w:tr>
      <w:tr w14:paraId="6EAF99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2" w:hRule="atLeast"/>
        </w:trPr>
        <w:tc>
          <w:tcPr>
            <w:tcW w:w="25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7F106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7FA46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162B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16</w:t>
            </w:r>
          </w:p>
        </w:tc>
        <w:tc>
          <w:tcPr>
            <w:tcW w:w="1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25D3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创新创业基础</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BB7A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0543F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32</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3337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32</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1CA5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3C61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2B5D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E45B3">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3EF5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55CA5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ADB01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7A7FA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A</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95E9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考查</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C296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创新创业</w:t>
            </w:r>
          </w:p>
        </w:tc>
      </w:tr>
      <w:tr w14:paraId="0E013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4" w:hRule="atLeast"/>
        </w:trPr>
        <w:tc>
          <w:tcPr>
            <w:tcW w:w="25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3FCB2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620F2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限</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选</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课</w:t>
            </w: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887B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17</w:t>
            </w:r>
          </w:p>
        </w:tc>
        <w:tc>
          <w:tcPr>
            <w:tcW w:w="1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6771A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高等数学</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0263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3.5</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8D72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56</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AB1F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56</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C6829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BBDC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3FBF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3423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9D6B3">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23C0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555E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F555B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A</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32BF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B3A1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基础部</w:t>
            </w:r>
          </w:p>
        </w:tc>
      </w:tr>
      <w:tr w14:paraId="527A70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0" w:hRule="atLeast"/>
        </w:trPr>
        <w:tc>
          <w:tcPr>
            <w:tcW w:w="25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6EE6F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50D5D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6AAE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18</w:t>
            </w:r>
          </w:p>
        </w:tc>
        <w:tc>
          <w:tcPr>
            <w:tcW w:w="1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DE3C3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大学英语</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DDAF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3.5</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AE44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56</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02F2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56</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DF75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DDF0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3733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36FA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6B94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9991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11F53">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A754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A</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F8C4F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F5C2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基础部</w:t>
            </w:r>
          </w:p>
        </w:tc>
      </w:tr>
      <w:tr w14:paraId="504BA2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9" w:hRule="atLeast"/>
        </w:trPr>
        <w:tc>
          <w:tcPr>
            <w:tcW w:w="25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68481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576A3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C5AD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19</w:t>
            </w:r>
          </w:p>
        </w:tc>
        <w:tc>
          <w:tcPr>
            <w:tcW w:w="1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A8441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宋体" w:eastAsia="方正书宋简体" w:cs="宋体"/>
                <w:snapToGrid w:val="0"/>
                <w:color w:val="auto"/>
                <w:spacing w:val="-4"/>
                <w:sz w:val="18"/>
                <w:szCs w:val="18"/>
              </w:rPr>
              <w:t>大学生职业人文素</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CD362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BA173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32</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0E7D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32</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4C42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default" w:ascii="方正书宋简体" w:hAnsi="方正书宋简体" w:eastAsia="方正书宋简体" w:cs="方正书宋简体"/>
                <w:i w:val="0"/>
                <w:iCs w:val="0"/>
                <w:color w:val="auto"/>
                <w:kern w:val="0"/>
                <w:sz w:val="18"/>
                <w:szCs w:val="18"/>
                <w:u w:val="none"/>
                <w:lang w:val="en-US" w:eastAsia="zh-CN" w:bidi="ar"/>
              </w:rPr>
              <w:t>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ED71D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ADEB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ABF1F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sz w:val="18"/>
                <w:szCs w:val="18"/>
                <w:u w:val="none"/>
                <w:lang w:val="en-US" w:eastAsia="zh-CN"/>
              </w:rPr>
              <w:t>2</w:t>
            </w: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F6689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2D6A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CF80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30331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default" w:ascii="方正书宋简体" w:hAnsi="方正书宋简体" w:eastAsia="方正书宋简体" w:cs="方正书宋简体"/>
                <w:i w:val="0"/>
                <w:iCs w:val="0"/>
                <w:color w:val="auto"/>
                <w:kern w:val="0"/>
                <w:sz w:val="18"/>
                <w:szCs w:val="18"/>
                <w:u w:val="none"/>
                <w:lang w:val="en-US" w:eastAsia="zh-CN" w:bidi="ar"/>
              </w:rPr>
              <w:t>A</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7881AC">
            <w:pPr>
              <w:adjustRightInd w:val="0"/>
              <w:snapToGrid w:val="0"/>
              <w:jc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宋体" w:eastAsia="方正书宋简体" w:cs="宋体"/>
                <w:snapToGrid w:val="0"/>
                <w:color w:val="auto"/>
                <w:spacing w:val="-4"/>
                <w:sz w:val="10"/>
                <w:szCs w:val="10"/>
              </w:rPr>
              <w:t>考查</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B41A7">
            <w:pPr>
              <w:adjustRightInd w:val="0"/>
              <w:snapToGrid w:val="0"/>
              <w:ind w:left="-105" w:leftChars="-50" w:right="-105" w:rightChars="-50"/>
              <w:jc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宋体" w:eastAsia="方正书宋简体" w:cs="宋体"/>
                <w:snapToGrid w:val="0"/>
                <w:color w:val="auto"/>
                <w:spacing w:val="-4"/>
                <w:sz w:val="10"/>
                <w:szCs w:val="10"/>
              </w:rPr>
              <w:t>教育艺术学院</w:t>
            </w:r>
          </w:p>
        </w:tc>
      </w:tr>
      <w:tr w14:paraId="06B14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5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DA70F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47191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DC5B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20</w:t>
            </w:r>
          </w:p>
        </w:tc>
        <w:tc>
          <w:tcPr>
            <w:tcW w:w="1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4B2A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音乐鉴赏</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1DCB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F246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16</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3364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16</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C384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87EA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D722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0903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w:t>
            </w: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7990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F286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CA45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C00A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A</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D08CB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考查</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3F90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公共艺术 教育中心</w:t>
            </w:r>
          </w:p>
        </w:tc>
      </w:tr>
      <w:tr w14:paraId="71B85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0" w:hRule="atLeast"/>
        </w:trPr>
        <w:tc>
          <w:tcPr>
            <w:tcW w:w="25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4356F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05C3F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39E6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21</w:t>
            </w:r>
          </w:p>
        </w:tc>
        <w:tc>
          <w:tcPr>
            <w:tcW w:w="1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9A7B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※中西方美术史</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2351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53D62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16</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DC25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16</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8D169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D843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666D2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4"/>
                <w:szCs w:val="14"/>
                <w:u w:val="none"/>
              </w:rPr>
            </w:pPr>
            <w:r>
              <w:rPr>
                <w:rFonts w:hint="eastAsia" w:ascii="方正书宋简体" w:hAnsi="方正书宋简体" w:eastAsia="方正书宋简体" w:cs="方正书宋简体"/>
                <w:i w:val="0"/>
                <w:iCs w:val="0"/>
                <w:color w:val="auto"/>
                <w:kern w:val="0"/>
                <w:sz w:val="14"/>
                <w:szCs w:val="14"/>
                <w:u w:val="none"/>
                <w:lang w:val="en-US" w:eastAsia="zh-CN" w:bidi="ar"/>
              </w:rPr>
              <w:t>（1）</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AB9F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4"/>
                <w:szCs w:val="14"/>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606C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F4FD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B23C3">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9BB1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A</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9484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考查</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BADB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公共艺术 教育中心</w:t>
            </w:r>
          </w:p>
        </w:tc>
      </w:tr>
      <w:tr w14:paraId="39803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5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68AB4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E375F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任</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选</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课</w:t>
            </w: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D2E18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22</w:t>
            </w:r>
          </w:p>
        </w:tc>
        <w:tc>
          <w:tcPr>
            <w:tcW w:w="1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6F4F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公共任选课</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35E3D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D81E6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64</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4DBD6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64</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B0B6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3F85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461C3">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C820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6E4E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B783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DBE92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0F59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A</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3DE42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考查</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E01A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教务处</w:t>
            </w:r>
          </w:p>
        </w:tc>
      </w:tr>
      <w:tr w14:paraId="0E097E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0" w:hRule="atLeast"/>
        </w:trPr>
        <w:tc>
          <w:tcPr>
            <w:tcW w:w="1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ACA1F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p w14:paraId="216DC3D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p w14:paraId="79DF2F9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p w14:paraId="1A7672D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p w14:paraId="123FA2B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p w14:paraId="50F4D69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专</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业</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 xml:space="preserve">︵ </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技</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能</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 xml:space="preserve">︶ </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课</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程</w:t>
            </w:r>
          </w:p>
        </w:tc>
        <w:tc>
          <w:tcPr>
            <w:tcW w:w="1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A8FB4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专</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业</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基</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础</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课</w:t>
            </w:r>
          </w:p>
        </w:tc>
        <w:tc>
          <w:tcPr>
            <w:tcW w:w="18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A0478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必</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修</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课</w:t>
            </w: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237A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23</w:t>
            </w:r>
          </w:p>
        </w:tc>
        <w:tc>
          <w:tcPr>
            <w:tcW w:w="1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F2BF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手工类零件加工</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CE00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5</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F03D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80</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2A4EB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20</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0467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60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7F63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0158D">
            <w:pPr>
              <w:keepNext w:val="0"/>
              <w:keepLines w:val="0"/>
              <w:pageBreakBefore w:val="0"/>
              <w:widowControl/>
              <w:kinsoku/>
              <w:wordWrap/>
              <w:overflowPunct/>
              <w:topLinePunct w:val="0"/>
              <w:autoSpaceDE/>
              <w:autoSpaceDN/>
              <w:bidi w:val="0"/>
              <w:adjustRightInd/>
              <w:snapToGrid/>
              <w:ind w:left="-105" w:leftChars="-50" w:right="-105" w:rightChars="-50"/>
              <w:rPr>
                <w:rFonts w:hint="eastAsia" w:ascii="方正书宋简体" w:hAnsi="方正书宋简体" w:eastAsia="方正书宋简体" w:cs="方正书宋简体"/>
                <w:i w:val="0"/>
                <w:iCs w:val="0"/>
                <w:color w:val="auto"/>
                <w:sz w:val="18"/>
                <w:szCs w:val="18"/>
                <w:u w:val="none"/>
              </w:rPr>
            </w:pP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D5FA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2950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D3AE3">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48C6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C769D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B</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AB74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02781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机电工程学院</w:t>
            </w:r>
          </w:p>
        </w:tc>
      </w:tr>
      <w:tr w14:paraId="52C88C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6"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E8534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FB64C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FC87A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CD17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24</w:t>
            </w:r>
          </w:p>
        </w:tc>
        <w:tc>
          <w:tcPr>
            <w:tcW w:w="1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34AB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基础电路安装与检测</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92316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5</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DE93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84</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9ABC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24</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C100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60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80A58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06C60">
            <w:pPr>
              <w:keepNext w:val="0"/>
              <w:keepLines w:val="0"/>
              <w:pageBreakBefore w:val="0"/>
              <w:widowControl/>
              <w:kinsoku/>
              <w:wordWrap/>
              <w:overflowPunct/>
              <w:topLinePunct w:val="0"/>
              <w:autoSpaceDE/>
              <w:autoSpaceDN/>
              <w:bidi w:val="0"/>
              <w:adjustRightInd/>
              <w:snapToGrid/>
              <w:ind w:left="-105" w:leftChars="-50" w:right="-105" w:rightChars="-50"/>
              <w:rPr>
                <w:rFonts w:hint="eastAsia" w:ascii="方正书宋简体" w:hAnsi="方正书宋简体" w:eastAsia="方正书宋简体" w:cs="方正书宋简体"/>
                <w:i w:val="0"/>
                <w:iCs w:val="0"/>
                <w:color w:val="auto"/>
                <w:sz w:val="18"/>
                <w:szCs w:val="18"/>
                <w:u w:val="none"/>
              </w:rPr>
            </w:pP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2910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EDA35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B61D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40EFF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F69B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B</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2D4C6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ED15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机电工程学院</w:t>
            </w:r>
          </w:p>
        </w:tc>
      </w:tr>
      <w:tr w14:paraId="396670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8"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CD48B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DCE6E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5F0E5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1856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25</w:t>
            </w:r>
          </w:p>
        </w:tc>
        <w:tc>
          <w:tcPr>
            <w:tcW w:w="1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1AD5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基础机电设备控制电路安装与调试</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2A47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6</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9494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100</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CE4A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40</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DD5AB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60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5A67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3F925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6</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320C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CE49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8C62F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255F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22400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B</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4AAF8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2C8B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机电工程学院</w:t>
            </w:r>
          </w:p>
        </w:tc>
      </w:tr>
      <w:tr w14:paraId="203D80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8"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D31BD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9199C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专</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业</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核</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心</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课</w:t>
            </w:r>
          </w:p>
        </w:tc>
        <w:tc>
          <w:tcPr>
            <w:tcW w:w="18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B176D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必</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修</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课</w:t>
            </w: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C991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26</w:t>
            </w:r>
          </w:p>
        </w:tc>
        <w:tc>
          <w:tcPr>
            <w:tcW w:w="1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AD6B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机械子系统制作与装配</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A1E0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7</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A19A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120</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D5896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40</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AC5B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80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58FD6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74D6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5A93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8</w:t>
            </w: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D90C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1F75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4A0A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DAF4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B</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C186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5DCE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机电工程学院</w:t>
            </w:r>
          </w:p>
        </w:tc>
      </w:tr>
      <w:tr w14:paraId="56FB47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B7D4C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9616D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D3233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1332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27</w:t>
            </w:r>
          </w:p>
        </w:tc>
        <w:tc>
          <w:tcPr>
            <w:tcW w:w="1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C65E6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初级PLC应用</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71D8F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EEDE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48</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12D5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20</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5C58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28</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FC31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BD3A1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20D1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w:t>
            </w: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5DF2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BB3AF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A325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553F1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B</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43F4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16DB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机电工程学院</w:t>
            </w:r>
          </w:p>
        </w:tc>
      </w:tr>
      <w:tr w14:paraId="1C442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0"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5D621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AFB8F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32238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6D6E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28</w:t>
            </w:r>
          </w:p>
        </w:tc>
        <w:tc>
          <w:tcPr>
            <w:tcW w:w="1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1FF9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变频控制的安装与调试</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8272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0F58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36</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BFAA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16</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6C73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D85F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9B67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36F7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4"/>
                <w:szCs w:val="14"/>
                <w:u w:val="none"/>
              </w:rPr>
            </w:pPr>
            <w:r>
              <w:rPr>
                <w:rFonts w:hint="eastAsia" w:ascii="方正书宋简体" w:hAnsi="方正书宋简体" w:eastAsia="方正书宋简体" w:cs="方正书宋简体"/>
                <w:i w:val="0"/>
                <w:iCs w:val="0"/>
                <w:color w:val="auto"/>
                <w:kern w:val="0"/>
                <w:sz w:val="14"/>
                <w:szCs w:val="14"/>
                <w:u w:val="none"/>
                <w:lang w:val="en-US" w:eastAsia="zh-CN" w:bidi="ar"/>
              </w:rPr>
              <w:t>6*6W</w:t>
            </w: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75DE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9CAF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C16AA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4575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B</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E4FB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0017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机电工程学院</w:t>
            </w:r>
          </w:p>
        </w:tc>
      </w:tr>
      <w:tr w14:paraId="350E33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3BD4B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0B018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44D8A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FCC6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29</w:t>
            </w:r>
          </w:p>
        </w:tc>
        <w:tc>
          <w:tcPr>
            <w:tcW w:w="1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270C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气动系统装调</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A06FA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1530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36</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939BF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16</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6C62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7CF8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4E6AC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A35D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4"/>
                <w:szCs w:val="14"/>
                <w:u w:val="none"/>
              </w:rPr>
            </w:pPr>
            <w:r>
              <w:rPr>
                <w:rFonts w:hint="eastAsia" w:ascii="方正书宋简体" w:hAnsi="方正书宋简体" w:eastAsia="方正书宋简体" w:cs="方正书宋简体"/>
                <w:i w:val="0"/>
                <w:iCs w:val="0"/>
                <w:color w:val="auto"/>
                <w:kern w:val="0"/>
                <w:sz w:val="14"/>
                <w:szCs w:val="14"/>
                <w:u w:val="none"/>
                <w:lang w:val="en-US" w:eastAsia="zh-CN" w:bidi="ar"/>
              </w:rPr>
              <w:t>6*6W</w:t>
            </w: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2DE7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EFF1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EF17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0DA0F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B</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D9B8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480E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机电工程学院</w:t>
            </w:r>
          </w:p>
        </w:tc>
      </w:tr>
      <w:tr w14:paraId="64B269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6"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2A8BA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5E404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EFBA0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D304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30</w:t>
            </w:r>
          </w:p>
        </w:tc>
        <w:tc>
          <w:tcPr>
            <w:tcW w:w="1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41670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中级PLC应用</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7C07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9555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54</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DB50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24</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3CC0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7D6D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416BE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8688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w:t>
            </w: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3EB4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A925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99024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D0B5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B</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C428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4492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机电工程学院</w:t>
            </w:r>
          </w:p>
        </w:tc>
      </w:tr>
      <w:tr w14:paraId="7C79E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6ACB6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EC5AB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E7CFA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BA25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31</w:t>
            </w:r>
          </w:p>
        </w:tc>
        <w:tc>
          <w:tcPr>
            <w:tcW w:w="1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CB64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物料分拣系统安装与调试</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0101B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5.5</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ACDB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90</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DFACE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30</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20B0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60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69BD8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1BD3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24DD9">
            <w:pPr>
              <w:keepNext w:val="0"/>
              <w:keepLines w:val="0"/>
              <w:pageBreakBefore w:val="0"/>
              <w:widowControl/>
              <w:kinsoku/>
              <w:wordWrap/>
              <w:overflowPunct/>
              <w:topLinePunct w:val="0"/>
              <w:autoSpaceDE/>
              <w:autoSpaceDN/>
              <w:bidi w:val="0"/>
              <w:adjustRightInd/>
              <w:snapToGrid/>
              <w:ind w:left="-105" w:leftChars="-50" w:right="-105" w:rightChars="-50"/>
              <w:rPr>
                <w:rFonts w:hint="eastAsia" w:ascii="方正书宋简体" w:hAnsi="方正书宋简体" w:eastAsia="方正书宋简体" w:cs="方正书宋简体"/>
                <w:i w:val="0"/>
                <w:iCs w:val="0"/>
                <w:color w:val="auto"/>
                <w:sz w:val="18"/>
                <w:szCs w:val="18"/>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2CDA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6</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98AF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5A6E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A5CC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B</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E4F0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A42A1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机电工程学院</w:t>
            </w:r>
          </w:p>
        </w:tc>
      </w:tr>
      <w:tr w14:paraId="41301F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6"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944383">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ABAEA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A02EB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89C3D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32</w:t>
            </w:r>
          </w:p>
        </w:tc>
        <w:tc>
          <w:tcPr>
            <w:tcW w:w="1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88EF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筛选装置生产装调及交付</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2886A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6</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16F6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108</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CE905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40</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7E30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68</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36B64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C8AA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74535">
            <w:pPr>
              <w:keepNext w:val="0"/>
              <w:keepLines w:val="0"/>
              <w:pageBreakBefore w:val="0"/>
              <w:widowControl/>
              <w:kinsoku/>
              <w:wordWrap/>
              <w:overflowPunct/>
              <w:topLinePunct w:val="0"/>
              <w:autoSpaceDE/>
              <w:autoSpaceDN/>
              <w:bidi w:val="0"/>
              <w:adjustRightInd/>
              <w:snapToGrid/>
              <w:ind w:left="-105" w:leftChars="-50" w:right="-105" w:rightChars="-50"/>
              <w:rPr>
                <w:rFonts w:hint="eastAsia" w:ascii="方正书宋简体" w:hAnsi="方正书宋简体" w:eastAsia="方正书宋简体" w:cs="方正书宋简体"/>
                <w:i w:val="0"/>
                <w:iCs w:val="0"/>
                <w:color w:val="auto"/>
                <w:sz w:val="18"/>
                <w:szCs w:val="18"/>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CF8A1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6</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433C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9159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7406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B</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6C21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DAC4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机电工程学院</w:t>
            </w:r>
          </w:p>
        </w:tc>
      </w:tr>
      <w:tr w14:paraId="0329B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8"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CEC7C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6F1B5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0327F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299E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33</w:t>
            </w:r>
          </w:p>
        </w:tc>
        <w:tc>
          <w:tcPr>
            <w:tcW w:w="1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703D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机电综合实践</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144B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5D123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30</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8B8C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10</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A66C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B0C3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F6DF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E5705">
            <w:pPr>
              <w:keepNext w:val="0"/>
              <w:keepLines w:val="0"/>
              <w:pageBreakBefore w:val="0"/>
              <w:widowControl/>
              <w:kinsoku/>
              <w:wordWrap/>
              <w:overflowPunct/>
              <w:topLinePunct w:val="0"/>
              <w:autoSpaceDE/>
              <w:autoSpaceDN/>
              <w:bidi w:val="0"/>
              <w:adjustRightInd/>
              <w:snapToGrid/>
              <w:ind w:left="-105" w:leftChars="-50" w:right="-105" w:rightChars="-50"/>
              <w:rPr>
                <w:rFonts w:hint="eastAsia" w:ascii="方正书宋简体" w:hAnsi="方正书宋简体" w:eastAsia="方正书宋简体" w:cs="方正书宋简体"/>
                <w:i w:val="0"/>
                <w:iCs w:val="0"/>
                <w:color w:val="auto"/>
                <w:sz w:val="18"/>
                <w:szCs w:val="18"/>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5F64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80BDB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2370D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9E14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B</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ED45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429F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机电工程学院</w:t>
            </w:r>
          </w:p>
        </w:tc>
      </w:tr>
      <w:tr w14:paraId="45C3B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4"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5242F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5A151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专</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业</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拓</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展</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课</w:t>
            </w:r>
          </w:p>
        </w:tc>
        <w:tc>
          <w:tcPr>
            <w:tcW w:w="18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5C1E3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限</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选</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课</w:t>
            </w: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76CE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34</w:t>
            </w:r>
          </w:p>
        </w:tc>
        <w:tc>
          <w:tcPr>
            <w:tcW w:w="1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5275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机电一体化系统优化及升级改造</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6D323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3.5</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C069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60</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6334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20</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0EB67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D71E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16CD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7FB0E">
            <w:pPr>
              <w:keepNext w:val="0"/>
              <w:keepLines w:val="0"/>
              <w:pageBreakBefore w:val="0"/>
              <w:widowControl/>
              <w:kinsoku/>
              <w:wordWrap/>
              <w:overflowPunct/>
              <w:topLinePunct w:val="0"/>
              <w:autoSpaceDE/>
              <w:autoSpaceDN/>
              <w:bidi w:val="0"/>
              <w:adjustRightInd/>
              <w:snapToGrid/>
              <w:ind w:left="-105" w:leftChars="-50" w:right="-105" w:rightChars="-50"/>
              <w:rPr>
                <w:rFonts w:hint="eastAsia" w:ascii="方正书宋简体" w:hAnsi="方正书宋简体" w:eastAsia="方正书宋简体" w:cs="方正书宋简体"/>
                <w:i w:val="0"/>
                <w:iCs w:val="0"/>
                <w:color w:val="auto"/>
                <w:sz w:val="18"/>
                <w:szCs w:val="18"/>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A952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E169F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DB58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6679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B</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3035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FE26E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机电工程学院</w:t>
            </w:r>
          </w:p>
        </w:tc>
      </w:tr>
      <w:tr w14:paraId="4D4FD9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2"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92E2A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6C1F0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B747F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14DB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35</w:t>
            </w:r>
          </w:p>
        </w:tc>
        <w:tc>
          <w:tcPr>
            <w:tcW w:w="1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1F3C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高级PLC应用</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1A91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5.5</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F8CFB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90</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3CC5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30</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AB15E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60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73DE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F92E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B5C88">
            <w:pPr>
              <w:keepNext w:val="0"/>
              <w:keepLines w:val="0"/>
              <w:pageBreakBefore w:val="0"/>
              <w:widowControl/>
              <w:kinsoku/>
              <w:wordWrap/>
              <w:overflowPunct/>
              <w:topLinePunct w:val="0"/>
              <w:autoSpaceDE/>
              <w:autoSpaceDN/>
              <w:bidi w:val="0"/>
              <w:adjustRightInd/>
              <w:snapToGrid/>
              <w:ind w:left="-105" w:leftChars="-50" w:right="-105" w:rightChars="-50"/>
              <w:rPr>
                <w:rFonts w:hint="eastAsia" w:ascii="方正书宋简体" w:hAnsi="方正书宋简体" w:eastAsia="方正书宋简体" w:cs="方正书宋简体"/>
                <w:i w:val="0"/>
                <w:iCs w:val="0"/>
                <w:color w:val="auto"/>
                <w:sz w:val="18"/>
                <w:szCs w:val="18"/>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CDF39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6</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D8F4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AFBA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418A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B</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9794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4D0A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机电工程学院</w:t>
            </w:r>
          </w:p>
        </w:tc>
      </w:tr>
      <w:tr w14:paraId="75BC3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0"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61149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B5DD6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专业实践课</w:t>
            </w:r>
          </w:p>
        </w:tc>
        <w:tc>
          <w:tcPr>
            <w:tcW w:w="18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0E8F6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必</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修</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课</w:t>
            </w: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D93DC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auto"/>
                <w:kern w:val="2"/>
                <w:sz w:val="18"/>
                <w:szCs w:val="18"/>
                <w:u w:val="none"/>
                <w:lang w:val="en-US" w:eastAsia="zh-CN" w:bidi="ar-SA"/>
              </w:rPr>
            </w:pPr>
            <w:r>
              <w:rPr>
                <w:rFonts w:hint="eastAsia" w:ascii="方正书宋简体" w:hAnsi="方正书宋简体" w:eastAsia="方正书宋简体" w:cs="方正书宋简体"/>
                <w:i w:val="0"/>
                <w:iCs w:val="0"/>
                <w:color w:val="auto"/>
                <w:kern w:val="2"/>
                <w:sz w:val="18"/>
                <w:szCs w:val="18"/>
                <w:u w:val="none"/>
                <w:lang w:val="en-US" w:eastAsia="zh-CN" w:bidi="ar-SA"/>
              </w:rPr>
              <w:t>36</w:t>
            </w:r>
          </w:p>
        </w:tc>
        <w:tc>
          <w:tcPr>
            <w:tcW w:w="1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B6D3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2"/>
                <w:sz w:val="18"/>
                <w:szCs w:val="18"/>
                <w:u w:val="none"/>
                <w:lang w:val="en-US" w:eastAsia="zh-CN" w:bidi="ar-SA"/>
              </w:rPr>
            </w:pPr>
            <w:r>
              <w:rPr>
                <w:rFonts w:hint="eastAsia" w:ascii="方正书宋简体" w:hAnsi="方正书宋简体" w:eastAsia="方正书宋简体" w:cs="方正书宋简体"/>
                <w:i w:val="0"/>
                <w:iCs w:val="0"/>
                <w:color w:val="auto"/>
                <w:kern w:val="0"/>
                <w:sz w:val="18"/>
                <w:szCs w:val="18"/>
                <w:u w:val="none"/>
                <w:lang w:val="en-US" w:eastAsia="zh-CN" w:bidi="ar"/>
              </w:rPr>
              <w:t>车削类零件的加工</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8F5A3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2"/>
                <w:sz w:val="18"/>
                <w:szCs w:val="18"/>
                <w:u w:val="none"/>
                <w:lang w:val="en-US" w:eastAsia="zh-CN" w:bidi="ar-SA"/>
              </w:rPr>
            </w:pPr>
            <w:r>
              <w:rPr>
                <w:rFonts w:hint="eastAsia" w:ascii="方正书宋简体" w:hAnsi="方正书宋简体" w:eastAsia="方正书宋简体" w:cs="方正书宋简体"/>
                <w:i w:val="0"/>
                <w:iCs w:val="0"/>
                <w:color w:val="auto"/>
                <w:kern w:val="0"/>
                <w:sz w:val="18"/>
                <w:szCs w:val="18"/>
                <w:u w:val="none"/>
                <w:lang w:val="en-US" w:eastAsia="zh-CN" w:bidi="ar"/>
              </w:rPr>
              <w:t>4</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ECA7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2"/>
                <w:sz w:val="18"/>
                <w:szCs w:val="18"/>
                <w:u w:val="none"/>
                <w:lang w:val="en-US" w:eastAsia="zh-CN" w:bidi="ar-SA"/>
              </w:rPr>
            </w:pPr>
            <w:r>
              <w:rPr>
                <w:rFonts w:hint="eastAsia" w:ascii="方正书宋简体" w:hAnsi="方正书宋简体" w:eastAsia="方正书宋简体" w:cs="方正书宋简体"/>
                <w:i w:val="0"/>
                <w:iCs w:val="0"/>
                <w:color w:val="auto"/>
                <w:kern w:val="0"/>
                <w:sz w:val="18"/>
                <w:szCs w:val="18"/>
                <w:u w:val="none"/>
                <w:lang w:val="en-US" w:eastAsia="zh-CN" w:bidi="ar"/>
              </w:rPr>
              <w:t>70</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BA0C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2"/>
                <w:sz w:val="18"/>
                <w:szCs w:val="18"/>
                <w:u w:val="none"/>
                <w:lang w:val="en-US" w:eastAsia="zh-CN" w:bidi="ar-SA"/>
              </w:rPr>
            </w:pPr>
            <w:r>
              <w:rPr>
                <w:rFonts w:hint="eastAsia" w:ascii="方正书宋简体" w:hAnsi="方正书宋简体" w:eastAsia="方正书宋简体" w:cs="方正书宋简体"/>
                <w:i w:val="0"/>
                <w:iCs w:val="0"/>
                <w:color w:val="auto"/>
                <w:kern w:val="0"/>
                <w:sz w:val="18"/>
                <w:szCs w:val="18"/>
                <w:u w:val="none"/>
                <w:lang w:val="en-US" w:eastAsia="zh-CN" w:bidi="ar"/>
              </w:rPr>
              <w:t>20</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1FB5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2"/>
                <w:sz w:val="18"/>
                <w:szCs w:val="18"/>
                <w:u w:val="none"/>
                <w:lang w:val="en-US" w:eastAsia="zh-CN" w:bidi="ar-SA"/>
              </w:rPr>
            </w:pPr>
            <w:r>
              <w:rPr>
                <w:rFonts w:hint="eastAsia" w:ascii="方正书宋简体" w:hAnsi="方正书宋简体" w:eastAsia="方正书宋简体" w:cs="方正书宋简体"/>
                <w:i w:val="0"/>
                <w:iCs w:val="0"/>
                <w:color w:val="auto"/>
                <w:kern w:val="0"/>
                <w:sz w:val="18"/>
                <w:szCs w:val="18"/>
                <w:u w:val="none"/>
                <w:lang w:val="en-US" w:eastAsia="zh-CN" w:bidi="ar"/>
              </w:rPr>
              <w:t>50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23D3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kern w:val="2"/>
                <w:sz w:val="18"/>
                <w:szCs w:val="18"/>
                <w:u w:val="none"/>
                <w:lang w:val="en-US" w:eastAsia="zh-CN" w:bidi="ar-SA"/>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7B69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2"/>
                <w:sz w:val="18"/>
                <w:szCs w:val="18"/>
                <w:u w:val="none"/>
                <w:lang w:val="en-US" w:eastAsia="zh-CN" w:bidi="ar-SA"/>
              </w:rPr>
            </w:pPr>
            <w:r>
              <w:rPr>
                <w:rFonts w:hint="eastAsia" w:ascii="方正书宋简体" w:hAnsi="方正书宋简体" w:eastAsia="方正书宋简体" w:cs="方正书宋简体"/>
                <w:i w:val="0"/>
                <w:iCs w:val="0"/>
                <w:color w:val="auto"/>
                <w:kern w:val="0"/>
                <w:sz w:val="18"/>
                <w:szCs w:val="18"/>
                <w:u w:val="none"/>
                <w:lang w:val="en-US" w:eastAsia="zh-CN" w:bidi="ar"/>
              </w:rPr>
              <w:t>4</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9510C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kern w:val="2"/>
                <w:sz w:val="18"/>
                <w:szCs w:val="18"/>
                <w:u w:val="none"/>
                <w:lang w:val="en-US" w:eastAsia="zh-CN" w:bidi="ar-SA"/>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7BF2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kern w:val="2"/>
                <w:sz w:val="18"/>
                <w:szCs w:val="18"/>
                <w:u w:val="none"/>
                <w:lang w:val="en-US" w:eastAsia="zh-CN" w:bidi="ar-SA"/>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F8CE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kern w:val="2"/>
                <w:sz w:val="18"/>
                <w:szCs w:val="18"/>
                <w:u w:val="none"/>
                <w:lang w:val="en-US" w:eastAsia="zh-CN" w:bidi="ar-SA"/>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D76D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kern w:val="2"/>
                <w:sz w:val="18"/>
                <w:szCs w:val="18"/>
                <w:u w:val="none"/>
                <w:lang w:val="en-US" w:eastAsia="zh-CN" w:bidi="ar-SA"/>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ED83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2"/>
                <w:sz w:val="18"/>
                <w:szCs w:val="18"/>
                <w:u w:val="none"/>
                <w:lang w:val="en-US" w:eastAsia="zh-CN" w:bidi="ar-SA"/>
              </w:rPr>
            </w:pPr>
            <w:r>
              <w:rPr>
                <w:rFonts w:hint="eastAsia" w:ascii="方正书宋简体" w:hAnsi="方正书宋简体" w:eastAsia="方正书宋简体" w:cs="方正书宋简体"/>
                <w:i w:val="0"/>
                <w:iCs w:val="0"/>
                <w:color w:val="auto"/>
                <w:kern w:val="0"/>
                <w:sz w:val="18"/>
                <w:szCs w:val="18"/>
                <w:u w:val="none"/>
                <w:lang w:val="en-US" w:eastAsia="zh-CN" w:bidi="ar"/>
              </w:rPr>
              <w:t>B</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AFE7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2"/>
                <w:sz w:val="10"/>
                <w:szCs w:val="10"/>
                <w:u w:val="none"/>
                <w:lang w:val="en-US" w:eastAsia="zh-CN" w:bidi="ar-SA"/>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3B649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2"/>
                <w:sz w:val="10"/>
                <w:szCs w:val="10"/>
                <w:u w:val="none"/>
                <w:lang w:val="en-US" w:eastAsia="zh-CN" w:bidi="ar-SA"/>
              </w:rPr>
            </w:pPr>
            <w:r>
              <w:rPr>
                <w:rFonts w:hint="eastAsia" w:ascii="方正书宋简体" w:hAnsi="方正书宋简体" w:eastAsia="方正书宋简体" w:cs="方正书宋简体"/>
                <w:i w:val="0"/>
                <w:iCs w:val="0"/>
                <w:color w:val="auto"/>
                <w:kern w:val="0"/>
                <w:sz w:val="10"/>
                <w:szCs w:val="10"/>
                <w:u w:val="none"/>
                <w:lang w:val="en-US" w:eastAsia="zh-CN" w:bidi="ar"/>
              </w:rPr>
              <w:t>机电工程学院</w:t>
            </w:r>
          </w:p>
        </w:tc>
      </w:tr>
      <w:tr w14:paraId="699ABF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0"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88CC0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6" w:type="pct"/>
            <w:vMerge w:val="continue"/>
            <w:tcBorders>
              <w:left w:val="single" w:color="000000" w:sz="4" w:space="0"/>
              <w:right w:val="single" w:color="000000" w:sz="4" w:space="0"/>
            </w:tcBorders>
            <w:shd w:val="clear" w:color="auto" w:fill="auto"/>
            <w:vAlign w:val="center"/>
          </w:tcPr>
          <w:p w14:paraId="73D016B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81" w:type="pct"/>
            <w:vMerge w:val="continue"/>
            <w:tcBorders>
              <w:left w:val="single" w:color="000000" w:sz="4" w:space="0"/>
              <w:right w:val="single" w:color="000000" w:sz="4" w:space="0"/>
            </w:tcBorders>
            <w:shd w:val="clear" w:color="auto" w:fill="auto"/>
            <w:vAlign w:val="center"/>
          </w:tcPr>
          <w:p w14:paraId="5C70D6E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D945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auto"/>
                <w:kern w:val="0"/>
                <w:sz w:val="18"/>
                <w:szCs w:val="18"/>
                <w:u w:val="none"/>
                <w:lang w:val="en-US" w:eastAsia="zh-CN" w:bidi="ar"/>
              </w:rPr>
            </w:pPr>
            <w:r>
              <w:rPr>
                <w:rFonts w:hint="eastAsia" w:ascii="方正书宋简体" w:hAnsi="方正书宋简体" w:eastAsia="方正书宋简体" w:cs="方正书宋简体"/>
                <w:i w:val="0"/>
                <w:iCs w:val="0"/>
                <w:color w:val="auto"/>
                <w:kern w:val="0"/>
                <w:sz w:val="18"/>
                <w:szCs w:val="18"/>
                <w:u w:val="none"/>
                <w:lang w:val="en-US" w:eastAsia="zh-CN" w:bidi="ar"/>
              </w:rPr>
              <w:t>37</w:t>
            </w:r>
          </w:p>
        </w:tc>
        <w:tc>
          <w:tcPr>
            <w:tcW w:w="1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2289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2"/>
                <w:sz w:val="18"/>
                <w:szCs w:val="18"/>
                <w:u w:val="none"/>
                <w:lang w:val="en-US" w:eastAsia="zh-CN" w:bidi="ar-SA"/>
              </w:rPr>
            </w:pPr>
            <w:r>
              <w:rPr>
                <w:rFonts w:hint="eastAsia" w:ascii="方正书宋简体" w:hAnsi="方正书宋简体" w:eastAsia="方正书宋简体" w:cs="方正书宋简体"/>
                <w:i w:val="0"/>
                <w:iCs w:val="0"/>
                <w:color w:val="auto"/>
                <w:kern w:val="0"/>
                <w:sz w:val="18"/>
                <w:szCs w:val="18"/>
                <w:u w:val="none"/>
                <w:lang w:val="en-US" w:eastAsia="zh-CN" w:bidi="ar"/>
              </w:rPr>
              <w:t>铣削类零件的加工</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3DA2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2"/>
                <w:sz w:val="18"/>
                <w:szCs w:val="18"/>
                <w:u w:val="none"/>
                <w:lang w:val="en-US" w:eastAsia="zh-CN" w:bidi="ar-SA"/>
              </w:rPr>
            </w:pPr>
            <w:r>
              <w:rPr>
                <w:rFonts w:hint="eastAsia" w:ascii="方正书宋简体" w:hAnsi="方正书宋简体" w:eastAsia="方正书宋简体" w:cs="方正书宋简体"/>
                <w:i w:val="0"/>
                <w:iCs w:val="0"/>
                <w:color w:val="auto"/>
                <w:kern w:val="0"/>
                <w:sz w:val="18"/>
                <w:szCs w:val="18"/>
                <w:u w:val="none"/>
                <w:lang w:val="en-US" w:eastAsia="zh-CN" w:bidi="ar"/>
              </w:rPr>
              <w:t>4</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F823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2"/>
                <w:sz w:val="18"/>
                <w:szCs w:val="18"/>
                <w:u w:val="none"/>
                <w:lang w:val="en-US" w:eastAsia="zh-CN" w:bidi="ar-SA"/>
              </w:rPr>
            </w:pPr>
            <w:r>
              <w:rPr>
                <w:rFonts w:hint="eastAsia" w:ascii="方正书宋简体" w:hAnsi="方正书宋简体" w:eastAsia="方正书宋简体" w:cs="方正书宋简体"/>
                <w:i w:val="0"/>
                <w:iCs w:val="0"/>
                <w:color w:val="auto"/>
                <w:kern w:val="0"/>
                <w:sz w:val="18"/>
                <w:szCs w:val="18"/>
                <w:u w:val="none"/>
                <w:lang w:val="en-US" w:eastAsia="zh-CN" w:bidi="ar"/>
              </w:rPr>
              <w:t>70</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8E7E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2"/>
                <w:sz w:val="18"/>
                <w:szCs w:val="18"/>
                <w:u w:val="none"/>
                <w:lang w:val="en-US" w:eastAsia="zh-CN" w:bidi="ar-SA"/>
              </w:rPr>
            </w:pPr>
            <w:r>
              <w:rPr>
                <w:rFonts w:hint="eastAsia" w:ascii="方正书宋简体" w:hAnsi="方正书宋简体" w:eastAsia="方正书宋简体" w:cs="方正书宋简体"/>
                <w:i w:val="0"/>
                <w:iCs w:val="0"/>
                <w:color w:val="auto"/>
                <w:kern w:val="0"/>
                <w:sz w:val="18"/>
                <w:szCs w:val="18"/>
                <w:u w:val="none"/>
                <w:lang w:val="en-US" w:eastAsia="zh-CN" w:bidi="ar"/>
              </w:rPr>
              <w:t>20</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B380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2"/>
                <w:sz w:val="18"/>
                <w:szCs w:val="18"/>
                <w:u w:val="none"/>
                <w:lang w:val="en-US" w:eastAsia="zh-CN" w:bidi="ar-SA"/>
              </w:rPr>
            </w:pPr>
            <w:r>
              <w:rPr>
                <w:rFonts w:hint="eastAsia" w:ascii="方正书宋简体" w:hAnsi="方正书宋简体" w:eastAsia="方正书宋简体" w:cs="方正书宋简体"/>
                <w:i w:val="0"/>
                <w:iCs w:val="0"/>
                <w:color w:val="auto"/>
                <w:kern w:val="0"/>
                <w:sz w:val="18"/>
                <w:szCs w:val="18"/>
                <w:u w:val="none"/>
                <w:lang w:val="en-US" w:eastAsia="zh-CN" w:bidi="ar"/>
              </w:rPr>
              <w:t>50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B3E7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kern w:val="2"/>
                <w:sz w:val="18"/>
                <w:szCs w:val="18"/>
                <w:u w:val="none"/>
                <w:lang w:val="en-US" w:eastAsia="zh-CN" w:bidi="ar-SA"/>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B260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2"/>
                <w:sz w:val="18"/>
                <w:szCs w:val="18"/>
                <w:u w:val="none"/>
                <w:lang w:val="en-US" w:eastAsia="zh-CN" w:bidi="ar-SA"/>
              </w:rPr>
            </w:pPr>
            <w:r>
              <w:rPr>
                <w:rFonts w:hint="eastAsia" w:ascii="方正书宋简体" w:hAnsi="方正书宋简体" w:eastAsia="方正书宋简体" w:cs="方正书宋简体"/>
                <w:i w:val="0"/>
                <w:iCs w:val="0"/>
                <w:color w:val="auto"/>
                <w:kern w:val="0"/>
                <w:sz w:val="18"/>
                <w:szCs w:val="18"/>
                <w:u w:val="none"/>
                <w:lang w:val="en-US" w:eastAsia="zh-CN" w:bidi="ar"/>
              </w:rPr>
              <w:t>4</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CD422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kern w:val="2"/>
                <w:sz w:val="18"/>
                <w:szCs w:val="18"/>
                <w:u w:val="none"/>
                <w:lang w:val="en-US" w:eastAsia="zh-CN" w:bidi="ar-SA"/>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6BBF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kern w:val="2"/>
                <w:sz w:val="18"/>
                <w:szCs w:val="18"/>
                <w:u w:val="none"/>
                <w:lang w:val="en-US" w:eastAsia="zh-CN" w:bidi="ar-SA"/>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C1E6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kern w:val="2"/>
                <w:sz w:val="18"/>
                <w:szCs w:val="18"/>
                <w:u w:val="none"/>
                <w:lang w:val="en-US" w:eastAsia="zh-CN" w:bidi="ar-SA"/>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822D6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kern w:val="2"/>
                <w:sz w:val="18"/>
                <w:szCs w:val="18"/>
                <w:u w:val="none"/>
                <w:lang w:val="en-US" w:eastAsia="zh-CN" w:bidi="ar-SA"/>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A1C2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2"/>
                <w:sz w:val="18"/>
                <w:szCs w:val="18"/>
                <w:u w:val="none"/>
                <w:lang w:val="en-US" w:eastAsia="zh-CN" w:bidi="ar-SA"/>
              </w:rPr>
            </w:pPr>
            <w:r>
              <w:rPr>
                <w:rFonts w:hint="eastAsia" w:ascii="方正书宋简体" w:hAnsi="方正书宋简体" w:eastAsia="方正书宋简体" w:cs="方正书宋简体"/>
                <w:i w:val="0"/>
                <w:iCs w:val="0"/>
                <w:color w:val="auto"/>
                <w:kern w:val="0"/>
                <w:sz w:val="18"/>
                <w:szCs w:val="18"/>
                <w:u w:val="none"/>
                <w:lang w:val="en-US" w:eastAsia="zh-CN" w:bidi="ar"/>
              </w:rPr>
              <w:t>B</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A7EB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2"/>
                <w:sz w:val="10"/>
                <w:szCs w:val="10"/>
                <w:u w:val="none"/>
                <w:lang w:val="en-US" w:eastAsia="zh-CN" w:bidi="ar-SA"/>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370C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2"/>
                <w:sz w:val="10"/>
                <w:szCs w:val="10"/>
                <w:u w:val="none"/>
                <w:lang w:val="en-US" w:eastAsia="zh-CN" w:bidi="ar-SA"/>
              </w:rPr>
            </w:pPr>
            <w:r>
              <w:rPr>
                <w:rFonts w:hint="eastAsia" w:ascii="方正书宋简体" w:hAnsi="方正书宋简体" w:eastAsia="方正书宋简体" w:cs="方正书宋简体"/>
                <w:i w:val="0"/>
                <w:iCs w:val="0"/>
                <w:color w:val="auto"/>
                <w:kern w:val="0"/>
                <w:sz w:val="10"/>
                <w:szCs w:val="10"/>
                <w:u w:val="none"/>
                <w:lang w:val="en-US" w:eastAsia="zh-CN" w:bidi="ar"/>
              </w:rPr>
              <w:t>机电工程学院</w:t>
            </w:r>
          </w:p>
        </w:tc>
      </w:tr>
      <w:tr w14:paraId="01F14B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0"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75882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6" w:type="pct"/>
            <w:vMerge w:val="continue"/>
            <w:tcBorders>
              <w:left w:val="single" w:color="000000" w:sz="4" w:space="0"/>
              <w:right w:val="single" w:color="000000" w:sz="4" w:space="0"/>
            </w:tcBorders>
            <w:shd w:val="clear" w:color="auto" w:fill="auto"/>
            <w:vAlign w:val="center"/>
          </w:tcPr>
          <w:p w14:paraId="6C56C09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81" w:type="pct"/>
            <w:vMerge w:val="continue"/>
            <w:tcBorders>
              <w:left w:val="single" w:color="000000" w:sz="4" w:space="0"/>
              <w:right w:val="single" w:color="000000" w:sz="4" w:space="0"/>
            </w:tcBorders>
            <w:shd w:val="clear" w:color="auto" w:fill="auto"/>
            <w:vAlign w:val="center"/>
          </w:tcPr>
          <w:p w14:paraId="2D85619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28A0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2"/>
                <w:sz w:val="18"/>
                <w:szCs w:val="18"/>
                <w:u w:val="none"/>
                <w:lang w:val="en-US" w:eastAsia="zh-CN" w:bidi="ar-SA"/>
              </w:rPr>
            </w:pPr>
            <w:r>
              <w:rPr>
                <w:rFonts w:hint="eastAsia" w:ascii="方正书宋简体" w:hAnsi="方正书宋简体" w:eastAsia="方正书宋简体" w:cs="方正书宋简体"/>
                <w:i w:val="0"/>
                <w:iCs w:val="0"/>
                <w:color w:val="auto"/>
                <w:kern w:val="0"/>
                <w:sz w:val="18"/>
                <w:szCs w:val="18"/>
                <w:u w:val="none"/>
                <w:lang w:val="en-US" w:eastAsia="zh-CN" w:bidi="ar"/>
              </w:rPr>
              <w:t>38</w:t>
            </w:r>
          </w:p>
        </w:tc>
        <w:tc>
          <w:tcPr>
            <w:tcW w:w="1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90F3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2"/>
                <w:sz w:val="18"/>
                <w:szCs w:val="18"/>
                <w:u w:val="none"/>
                <w:lang w:val="en-US" w:eastAsia="zh-CN" w:bidi="ar-SA"/>
              </w:rPr>
            </w:pPr>
            <w:r>
              <w:rPr>
                <w:rFonts w:hint="eastAsia" w:ascii="方正书宋简体" w:hAnsi="方正书宋简体" w:eastAsia="方正书宋简体" w:cs="方正书宋简体"/>
                <w:i w:val="0"/>
                <w:iCs w:val="0"/>
                <w:color w:val="auto"/>
                <w:kern w:val="0"/>
                <w:sz w:val="18"/>
                <w:szCs w:val="18"/>
                <w:u w:val="none"/>
                <w:lang w:val="en-US" w:eastAsia="zh-CN" w:bidi="ar"/>
              </w:rPr>
              <w:t>高级机电一体化系统装调</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17C4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2"/>
                <w:sz w:val="18"/>
                <w:szCs w:val="18"/>
                <w:u w:val="none"/>
                <w:lang w:val="en-US" w:eastAsia="zh-CN" w:bidi="ar-SA"/>
              </w:rPr>
            </w:pPr>
            <w:r>
              <w:rPr>
                <w:rFonts w:hint="eastAsia" w:ascii="方正书宋简体" w:hAnsi="方正书宋简体" w:eastAsia="方正书宋简体" w:cs="方正书宋简体"/>
                <w:i w:val="0"/>
                <w:iCs w:val="0"/>
                <w:color w:val="auto"/>
                <w:kern w:val="0"/>
                <w:sz w:val="18"/>
                <w:szCs w:val="18"/>
                <w:u w:val="none"/>
                <w:lang w:val="en-US" w:eastAsia="zh-CN" w:bidi="ar"/>
              </w:rPr>
              <w:t>3.5</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06DB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2"/>
                <w:sz w:val="18"/>
                <w:szCs w:val="18"/>
                <w:u w:val="none"/>
                <w:lang w:val="en-US" w:eastAsia="zh-CN" w:bidi="ar-SA"/>
              </w:rPr>
            </w:pPr>
            <w:r>
              <w:rPr>
                <w:rFonts w:hint="eastAsia" w:ascii="方正书宋简体" w:hAnsi="方正书宋简体" w:eastAsia="方正书宋简体" w:cs="方正书宋简体"/>
                <w:i w:val="0"/>
                <w:iCs w:val="0"/>
                <w:color w:val="auto"/>
                <w:kern w:val="0"/>
                <w:sz w:val="18"/>
                <w:szCs w:val="18"/>
                <w:u w:val="none"/>
                <w:lang w:val="en-US" w:eastAsia="zh-CN" w:bidi="ar"/>
              </w:rPr>
              <w:t>60</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9D4D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2"/>
                <w:sz w:val="18"/>
                <w:szCs w:val="18"/>
                <w:u w:val="none"/>
                <w:lang w:val="en-US" w:eastAsia="zh-CN" w:bidi="ar-SA"/>
              </w:rPr>
            </w:pPr>
            <w:r>
              <w:rPr>
                <w:rFonts w:hint="eastAsia" w:ascii="方正书宋简体" w:hAnsi="方正书宋简体" w:eastAsia="方正书宋简体" w:cs="方正书宋简体"/>
                <w:i w:val="0"/>
                <w:iCs w:val="0"/>
                <w:color w:val="auto"/>
                <w:kern w:val="0"/>
                <w:sz w:val="18"/>
                <w:szCs w:val="18"/>
                <w:u w:val="none"/>
                <w:lang w:val="en-US" w:eastAsia="zh-CN" w:bidi="ar"/>
              </w:rPr>
              <w:t>20</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D7E6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2"/>
                <w:sz w:val="18"/>
                <w:szCs w:val="18"/>
                <w:u w:val="none"/>
                <w:lang w:val="en-US" w:eastAsia="zh-CN" w:bidi="ar-SA"/>
              </w:rPr>
            </w:pPr>
            <w:r>
              <w:rPr>
                <w:rFonts w:hint="eastAsia" w:ascii="方正书宋简体" w:hAnsi="方正书宋简体" w:eastAsia="方正书宋简体" w:cs="方正书宋简体"/>
                <w:i w:val="0"/>
                <w:iCs w:val="0"/>
                <w:color w:val="auto"/>
                <w:kern w:val="0"/>
                <w:sz w:val="18"/>
                <w:szCs w:val="18"/>
                <w:u w:val="none"/>
                <w:lang w:val="en-US" w:eastAsia="zh-CN" w:bidi="ar"/>
              </w:rPr>
              <w:t>40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F1EB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kern w:val="2"/>
                <w:sz w:val="18"/>
                <w:szCs w:val="18"/>
                <w:u w:val="none"/>
                <w:lang w:val="en-US" w:eastAsia="zh-CN" w:bidi="ar-SA"/>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2507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kern w:val="2"/>
                <w:sz w:val="18"/>
                <w:szCs w:val="18"/>
                <w:u w:val="none"/>
                <w:lang w:val="en-US" w:eastAsia="zh-CN" w:bidi="ar-SA"/>
              </w:rPr>
            </w:pP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7CF0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kern w:val="2"/>
                <w:sz w:val="18"/>
                <w:szCs w:val="18"/>
                <w:u w:val="none"/>
                <w:lang w:val="en-US" w:eastAsia="zh-CN" w:bidi="ar-SA"/>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2248A">
            <w:pPr>
              <w:keepNext w:val="0"/>
              <w:keepLines w:val="0"/>
              <w:pageBreakBefore w:val="0"/>
              <w:widowControl/>
              <w:kinsoku/>
              <w:wordWrap/>
              <w:overflowPunct/>
              <w:topLinePunct w:val="0"/>
              <w:autoSpaceDE/>
              <w:autoSpaceDN/>
              <w:bidi w:val="0"/>
              <w:adjustRightInd/>
              <w:snapToGrid/>
              <w:ind w:left="-105" w:leftChars="-50" w:right="-105" w:rightChars="-50"/>
              <w:rPr>
                <w:rFonts w:hint="eastAsia" w:ascii="方正书宋简体" w:hAnsi="方正书宋简体" w:eastAsia="方正书宋简体" w:cs="方正书宋简体"/>
                <w:i w:val="0"/>
                <w:iCs w:val="0"/>
                <w:color w:val="auto"/>
                <w:kern w:val="2"/>
                <w:sz w:val="18"/>
                <w:szCs w:val="18"/>
                <w:u w:val="none"/>
                <w:lang w:val="en-US" w:eastAsia="zh-CN" w:bidi="ar-SA"/>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DB01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2"/>
                <w:sz w:val="18"/>
                <w:szCs w:val="18"/>
                <w:u w:val="none"/>
                <w:lang w:val="en-US" w:eastAsia="zh-CN" w:bidi="ar-SA"/>
              </w:rPr>
            </w:pPr>
            <w:r>
              <w:rPr>
                <w:rFonts w:hint="eastAsia" w:ascii="方正书宋简体" w:hAnsi="方正书宋简体" w:eastAsia="方正书宋简体" w:cs="方正书宋简体"/>
                <w:i w:val="0"/>
                <w:iCs w:val="0"/>
                <w:color w:val="auto"/>
                <w:kern w:val="0"/>
                <w:sz w:val="18"/>
                <w:szCs w:val="18"/>
                <w:u w:val="none"/>
                <w:lang w:val="en-US" w:eastAsia="zh-CN" w:bidi="ar"/>
              </w:rPr>
              <w:t>6</w:t>
            </w: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B8BF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kern w:val="2"/>
                <w:sz w:val="18"/>
                <w:szCs w:val="18"/>
                <w:u w:val="none"/>
                <w:lang w:val="en-US" w:eastAsia="zh-CN" w:bidi="ar-SA"/>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2B0E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2"/>
                <w:sz w:val="18"/>
                <w:szCs w:val="18"/>
                <w:u w:val="none"/>
                <w:lang w:val="en-US" w:eastAsia="zh-CN" w:bidi="ar-SA"/>
              </w:rPr>
            </w:pPr>
            <w:r>
              <w:rPr>
                <w:rFonts w:hint="eastAsia" w:ascii="方正书宋简体" w:hAnsi="方正书宋简体" w:eastAsia="方正书宋简体" w:cs="方正书宋简体"/>
                <w:i w:val="0"/>
                <w:iCs w:val="0"/>
                <w:color w:val="auto"/>
                <w:kern w:val="0"/>
                <w:sz w:val="18"/>
                <w:szCs w:val="18"/>
                <w:u w:val="none"/>
                <w:lang w:val="en-US" w:eastAsia="zh-CN" w:bidi="ar"/>
              </w:rPr>
              <w:t>B</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0D59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2"/>
                <w:sz w:val="10"/>
                <w:szCs w:val="10"/>
                <w:u w:val="none"/>
                <w:lang w:val="en-US" w:eastAsia="zh-CN" w:bidi="ar-SA"/>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B751B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2"/>
                <w:sz w:val="10"/>
                <w:szCs w:val="10"/>
                <w:u w:val="none"/>
                <w:lang w:val="en-US" w:eastAsia="zh-CN" w:bidi="ar-SA"/>
              </w:rPr>
            </w:pPr>
            <w:r>
              <w:rPr>
                <w:rFonts w:hint="eastAsia" w:ascii="方正书宋简体" w:hAnsi="方正书宋简体" w:eastAsia="方正书宋简体" w:cs="方正书宋简体"/>
                <w:i w:val="0"/>
                <w:iCs w:val="0"/>
                <w:color w:val="auto"/>
                <w:kern w:val="0"/>
                <w:sz w:val="10"/>
                <w:szCs w:val="10"/>
                <w:u w:val="none"/>
                <w:lang w:val="en-US" w:eastAsia="zh-CN" w:bidi="ar"/>
              </w:rPr>
              <w:t>机电工程学院</w:t>
            </w:r>
          </w:p>
        </w:tc>
      </w:tr>
      <w:tr w14:paraId="4EA56C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4"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18862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76A08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98F263">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A1E6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39</w:t>
            </w:r>
          </w:p>
        </w:tc>
        <w:tc>
          <w:tcPr>
            <w:tcW w:w="1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929F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智能生产线运维</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0A4F9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2DB8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48</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7B9C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18</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1CA5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3206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AA46F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87690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CE1A8">
            <w:pPr>
              <w:keepNext w:val="0"/>
              <w:keepLines w:val="0"/>
              <w:pageBreakBefore w:val="0"/>
              <w:widowControl/>
              <w:kinsoku/>
              <w:wordWrap/>
              <w:overflowPunct/>
              <w:topLinePunct w:val="0"/>
              <w:autoSpaceDE/>
              <w:autoSpaceDN/>
              <w:bidi w:val="0"/>
              <w:adjustRightInd/>
              <w:snapToGrid/>
              <w:ind w:left="-105" w:leftChars="-50" w:right="-105" w:rightChars="-50"/>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D393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6</w:t>
            </w: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0F02F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D0889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B</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0212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24B58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机电工程学院</w:t>
            </w:r>
          </w:p>
        </w:tc>
      </w:tr>
      <w:tr w14:paraId="0429C4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8"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CD735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3A3CD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33285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41C6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40</w:t>
            </w:r>
          </w:p>
        </w:tc>
        <w:tc>
          <w:tcPr>
            <w:tcW w:w="1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41750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机电综合设计</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7C63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6B32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30</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46ACE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10</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C7ADB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4A065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0439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EEC1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FD51F">
            <w:pPr>
              <w:keepNext w:val="0"/>
              <w:keepLines w:val="0"/>
              <w:pageBreakBefore w:val="0"/>
              <w:widowControl/>
              <w:kinsoku/>
              <w:wordWrap/>
              <w:overflowPunct/>
              <w:topLinePunct w:val="0"/>
              <w:autoSpaceDE/>
              <w:autoSpaceDN/>
              <w:bidi w:val="0"/>
              <w:adjustRightInd/>
              <w:snapToGrid/>
              <w:ind w:left="-105" w:leftChars="-50" w:right="-105" w:rightChars="-50"/>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8C24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w:t>
            </w: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3EE3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72BE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B</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4F48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F203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机电工程学院</w:t>
            </w:r>
          </w:p>
        </w:tc>
      </w:tr>
      <w:tr w14:paraId="0D227A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6"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98BE6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42907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CAE72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AAEC0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41</w:t>
            </w:r>
          </w:p>
        </w:tc>
        <w:tc>
          <w:tcPr>
            <w:tcW w:w="1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37878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机电一体化系统数据处理应用</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2E9D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3.5</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D1B9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60</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434E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20</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63B9C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6A0E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4FEE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918D2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E6786">
            <w:pPr>
              <w:keepNext w:val="0"/>
              <w:keepLines w:val="0"/>
              <w:pageBreakBefore w:val="0"/>
              <w:widowControl/>
              <w:kinsoku/>
              <w:wordWrap/>
              <w:overflowPunct/>
              <w:topLinePunct w:val="0"/>
              <w:autoSpaceDE/>
              <w:autoSpaceDN/>
              <w:bidi w:val="0"/>
              <w:adjustRightInd/>
              <w:snapToGrid/>
              <w:ind w:left="-105" w:leftChars="-50" w:right="-105" w:rightChars="-50"/>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9F36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6</w:t>
            </w: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68BA2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CB90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B</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608F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4D5BE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机电工程学院</w:t>
            </w:r>
          </w:p>
        </w:tc>
      </w:tr>
      <w:tr w14:paraId="57341F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0"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1B6E4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7FA7A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72AC9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746E0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42</w:t>
            </w:r>
          </w:p>
        </w:tc>
        <w:tc>
          <w:tcPr>
            <w:tcW w:w="1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090A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机电一体化设备综合设计</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1107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C43C6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30</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D69CD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0</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D4D4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3506D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2E50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6C00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F2C33">
            <w:pPr>
              <w:keepNext w:val="0"/>
              <w:keepLines w:val="0"/>
              <w:pageBreakBefore w:val="0"/>
              <w:widowControl/>
              <w:kinsoku/>
              <w:wordWrap/>
              <w:overflowPunct/>
              <w:topLinePunct w:val="0"/>
              <w:autoSpaceDE/>
              <w:autoSpaceDN/>
              <w:bidi w:val="0"/>
              <w:adjustRightInd/>
              <w:snapToGrid/>
              <w:ind w:left="-105" w:leftChars="-50" w:right="-105" w:rightChars="-50"/>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7B81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w:t>
            </w: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FC033">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D4482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B</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37A1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FE85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机电工程学院</w:t>
            </w:r>
          </w:p>
        </w:tc>
      </w:tr>
      <w:tr w14:paraId="78C2E1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39942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93A74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5A4C8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F901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43</w:t>
            </w:r>
          </w:p>
        </w:tc>
        <w:tc>
          <w:tcPr>
            <w:tcW w:w="1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D3AA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岗位实习</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40E7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24</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304D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528</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EF957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0</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B6B80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528</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43BC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22193">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E8F1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7578F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6FC5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10W</w:t>
            </w: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5471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16W</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93C6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B</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6A7EF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考查</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EED9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机电工程学院</w:t>
            </w:r>
          </w:p>
        </w:tc>
      </w:tr>
      <w:tr w14:paraId="347CBF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2" w:hRule="atLeast"/>
        </w:trPr>
        <w:tc>
          <w:tcPr>
            <w:tcW w:w="2118"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12C6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b/>
                <w:bCs/>
                <w:i w:val="0"/>
                <w:iCs w:val="0"/>
                <w:color w:val="auto"/>
                <w:kern w:val="0"/>
                <w:sz w:val="18"/>
                <w:szCs w:val="18"/>
                <w:u w:val="none"/>
                <w:lang w:val="en-US" w:eastAsia="zh-CN" w:bidi="ar"/>
              </w:rPr>
              <w:t>教学计划总计</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3400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151</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ADB6E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auto"/>
                <w:sz w:val="18"/>
                <w:szCs w:val="18"/>
                <w:u w:val="none"/>
                <w:lang w:val="en-US"/>
              </w:rPr>
            </w:pPr>
            <w:r>
              <w:rPr>
                <w:rFonts w:hint="eastAsia" w:ascii="方正书宋简体" w:hAnsi="方正书宋简体" w:eastAsia="方正书宋简体" w:cs="方正书宋简体"/>
                <w:i w:val="0"/>
                <w:iCs w:val="0"/>
                <w:color w:val="auto"/>
                <w:kern w:val="0"/>
                <w:sz w:val="18"/>
                <w:szCs w:val="18"/>
                <w:u w:val="none"/>
                <w:lang w:val="en-US" w:eastAsia="zh-CN" w:bidi="ar"/>
              </w:rPr>
              <w:t>2758</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A583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auto"/>
                <w:sz w:val="18"/>
                <w:szCs w:val="18"/>
                <w:u w:val="none"/>
                <w:lang w:val="en-US"/>
              </w:rPr>
            </w:pPr>
            <w:r>
              <w:rPr>
                <w:rFonts w:hint="eastAsia" w:ascii="方正书宋简体" w:hAnsi="方正书宋简体" w:eastAsia="方正书宋简体" w:cs="方正书宋简体"/>
                <w:i w:val="0"/>
                <w:iCs w:val="0"/>
                <w:color w:val="auto"/>
                <w:kern w:val="0"/>
                <w:sz w:val="18"/>
                <w:szCs w:val="18"/>
                <w:u w:val="none"/>
                <w:lang w:val="en-US" w:eastAsia="zh-CN" w:bidi="ar"/>
              </w:rPr>
              <w:t>1080</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4EA8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1678</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F3A3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FF0000"/>
                <w:sz w:val="18"/>
                <w:szCs w:val="18"/>
                <w:u w:val="none"/>
              </w:rPr>
            </w:pPr>
            <w:r>
              <w:rPr>
                <w:rFonts w:hint="eastAsia" w:ascii="方正书宋简体" w:hAnsi="方正书宋简体" w:eastAsia="方正书宋简体" w:cs="方正书宋简体"/>
                <w:i w:val="0"/>
                <w:iCs w:val="0"/>
                <w:color w:val="FF0000"/>
                <w:kern w:val="0"/>
                <w:sz w:val="18"/>
                <w:szCs w:val="18"/>
                <w:u w:val="none"/>
                <w:lang w:val="en-US" w:eastAsia="zh-CN" w:bidi="ar"/>
              </w:rPr>
              <w:t>26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558C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FF0000"/>
                <w:sz w:val="18"/>
                <w:szCs w:val="18"/>
                <w:u w:val="none"/>
              </w:rPr>
            </w:pPr>
            <w:r>
              <w:rPr>
                <w:rFonts w:hint="eastAsia" w:ascii="方正书宋简体" w:hAnsi="方正书宋简体" w:eastAsia="方正书宋简体" w:cs="方正书宋简体"/>
                <w:i w:val="0"/>
                <w:iCs w:val="0"/>
                <w:color w:val="FF0000"/>
                <w:kern w:val="0"/>
                <w:sz w:val="18"/>
                <w:szCs w:val="18"/>
                <w:u w:val="none"/>
                <w:lang w:val="en-US" w:eastAsia="zh-CN" w:bidi="ar"/>
              </w:rPr>
              <w:t>25</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741B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27</w:t>
            </w: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3F83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28</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68FE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auto"/>
                <w:sz w:val="18"/>
                <w:szCs w:val="18"/>
                <w:u w:val="none"/>
                <w:lang w:val="en-US"/>
              </w:rPr>
            </w:pPr>
            <w:r>
              <w:rPr>
                <w:rFonts w:hint="eastAsia" w:ascii="方正书宋简体" w:hAnsi="方正书宋简体" w:eastAsia="方正书宋简体" w:cs="方正书宋简体"/>
                <w:i w:val="0"/>
                <w:iCs w:val="0"/>
                <w:color w:val="auto"/>
                <w:kern w:val="0"/>
                <w:sz w:val="18"/>
                <w:szCs w:val="18"/>
                <w:u w:val="none"/>
                <w:lang w:val="en-US" w:eastAsia="zh-CN" w:bidi="ar"/>
              </w:rPr>
              <w:t>24</w:t>
            </w: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A0C5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C4765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A1BE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0"/>
                <w:szCs w:val="10"/>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20786">
            <w:pPr>
              <w:keepNext w:val="0"/>
              <w:keepLines w:val="0"/>
              <w:pageBreakBefore w:val="0"/>
              <w:widowControl/>
              <w:kinsoku/>
              <w:wordWrap/>
              <w:overflowPunct/>
              <w:topLinePunct w:val="0"/>
              <w:autoSpaceDE/>
              <w:autoSpaceDN/>
              <w:bidi w:val="0"/>
              <w:adjustRightInd/>
              <w:snapToGrid/>
              <w:ind w:left="-105" w:leftChars="-50" w:right="-105" w:rightChars="-50"/>
              <w:rPr>
                <w:rFonts w:hint="eastAsia" w:ascii="方正书宋简体" w:hAnsi="方正书宋简体" w:eastAsia="方正书宋简体" w:cs="方正书宋简体"/>
                <w:i w:val="0"/>
                <w:iCs w:val="0"/>
                <w:color w:val="auto"/>
                <w:sz w:val="10"/>
                <w:szCs w:val="10"/>
                <w:u w:val="none"/>
              </w:rPr>
            </w:pPr>
          </w:p>
        </w:tc>
      </w:tr>
    </w:tbl>
    <w:tbl>
      <w:tblPr>
        <w:tblStyle w:val="15"/>
        <w:tblpPr w:leftFromText="180" w:rightFromText="180" w:vertAnchor="text" w:tblpX="10769" w:tblpY="-1677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4"/>
      </w:tblGrid>
      <w:tr w14:paraId="4454B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574" w:type="dxa"/>
          </w:tcPr>
          <w:p w14:paraId="2F5B2CD4">
            <w:pPr>
              <w:keepNext w:val="0"/>
              <w:keepLines w:val="0"/>
              <w:pageBreakBefore w:val="0"/>
              <w:widowControl/>
              <w:kinsoku/>
              <w:wordWrap/>
              <w:overflowPunct/>
              <w:topLinePunct w:val="0"/>
              <w:bidi w:val="0"/>
              <w:spacing w:before="123" w:line="241" w:lineRule="auto"/>
              <w:rPr>
                <w:rFonts w:ascii="黑体" w:hAnsi="黑体" w:eastAsia="黑体" w:cs="黑体"/>
                <w:spacing w:val="-3"/>
                <w:sz w:val="24"/>
                <w:szCs w:val="24"/>
                <w:vertAlign w:val="baseline"/>
              </w:rPr>
            </w:pPr>
          </w:p>
        </w:tc>
      </w:tr>
    </w:tbl>
    <w:tbl>
      <w:tblPr>
        <w:tblStyle w:val="15"/>
        <w:tblpPr w:leftFromText="180" w:rightFromText="180" w:vertAnchor="text" w:tblpX="10769" w:tblpY="-1747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6"/>
      </w:tblGrid>
      <w:tr w14:paraId="20B9F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546" w:type="dxa"/>
          </w:tcPr>
          <w:p w14:paraId="01262E34">
            <w:pPr>
              <w:keepNext w:val="0"/>
              <w:keepLines w:val="0"/>
              <w:pageBreakBefore w:val="0"/>
              <w:widowControl/>
              <w:kinsoku/>
              <w:wordWrap/>
              <w:overflowPunct/>
              <w:topLinePunct w:val="0"/>
              <w:bidi w:val="0"/>
              <w:spacing w:before="123" w:line="241" w:lineRule="auto"/>
              <w:rPr>
                <w:rFonts w:ascii="黑体" w:hAnsi="黑体" w:eastAsia="黑体" w:cs="黑体"/>
                <w:spacing w:val="-3"/>
                <w:sz w:val="24"/>
                <w:szCs w:val="24"/>
                <w:vertAlign w:val="baseline"/>
              </w:rPr>
            </w:pPr>
          </w:p>
        </w:tc>
      </w:tr>
    </w:tbl>
    <w:p w14:paraId="298A7E5A">
      <w:pPr>
        <w:adjustRightInd w:val="0"/>
        <w:snapToGrid w:val="0"/>
        <w:spacing w:before="120" w:beforeLines="50" w:line="240" w:lineRule="exact"/>
        <w:rPr>
          <w:rFonts w:hint="eastAsia" w:ascii="方正书宋简体" w:hAnsi="楷体" w:eastAsia="方正书宋简体" w:cs="MS Gothic"/>
          <w:sz w:val="19"/>
          <w:szCs w:val="19"/>
        </w:rPr>
      </w:pPr>
      <w:bookmarkStart w:id="24" w:name="_Toc13342"/>
      <w:bookmarkStart w:id="25" w:name="_Toc15803"/>
      <w:r>
        <w:rPr>
          <w:rFonts w:hint="eastAsia" w:ascii="方正黑体简体" w:hAnsi="楷体" w:eastAsia="方正黑体简体" w:cs="MS Gothic"/>
          <w:sz w:val="19"/>
          <w:szCs w:val="19"/>
        </w:rPr>
        <w:t>备注：</w:t>
      </w:r>
      <w:r>
        <w:rPr>
          <w:rFonts w:hint="eastAsia" w:ascii="方正书宋简体" w:hAnsi="楷体" w:eastAsia="方正书宋简体" w:cs="MS Gothic"/>
          <w:sz w:val="19"/>
          <w:szCs w:val="19"/>
        </w:rPr>
        <w:t>1</w:t>
      </w:r>
      <w:r>
        <w:rPr>
          <w:rFonts w:hint="eastAsia" w:ascii="方正仿宋简体" w:hAnsi="Times New Roman" w:eastAsia="方正仿宋简体" w:cs="Times New Roman"/>
          <w:sz w:val="19"/>
          <w:szCs w:val="19"/>
        </w:rPr>
        <w:t>．</w:t>
      </w:r>
      <w:r>
        <w:rPr>
          <w:rFonts w:hint="eastAsia" w:ascii="方正书宋简体" w:hAnsi="楷体" w:eastAsia="方正书宋简体" w:cs="MS Gothic"/>
          <w:sz w:val="19"/>
          <w:szCs w:val="19"/>
        </w:rPr>
        <w:t>课程类型：A表示纯理论课；B表示理论+实践课；C表示纯实践课。</w:t>
      </w:r>
    </w:p>
    <w:p w14:paraId="3247E04B">
      <w:pPr>
        <w:numPr>
          <w:ilvl w:val="0"/>
          <w:numId w:val="0"/>
        </w:numPr>
        <w:adjustRightInd w:val="0"/>
        <w:snapToGrid w:val="0"/>
        <w:spacing w:line="240" w:lineRule="exact"/>
        <w:ind w:firstLine="570" w:firstLineChars="300"/>
        <w:rPr>
          <w:rFonts w:hint="eastAsia" w:ascii="方正书宋简体" w:hAnsi="楷体" w:eastAsia="方正书宋简体" w:cs="MS Gothic"/>
          <w:sz w:val="19"/>
          <w:szCs w:val="19"/>
        </w:rPr>
      </w:pPr>
      <w:r>
        <w:rPr>
          <w:rFonts w:hint="eastAsia" w:ascii="方正书宋简体" w:hAnsi="楷体" w:eastAsia="方正书宋简体" w:cs="MS Gothic"/>
          <w:kern w:val="2"/>
          <w:sz w:val="19"/>
          <w:szCs w:val="19"/>
          <w:lang w:val="en-US" w:eastAsia="zh-CN" w:bidi="ar-SA"/>
        </w:rPr>
        <w:t>2．</w:t>
      </w:r>
      <w:r>
        <w:rPr>
          <w:rFonts w:hint="eastAsia" w:ascii="方正书宋简体" w:hAnsi="楷体" w:eastAsia="方正书宋简体" w:cs="MS Gothic"/>
          <w:sz w:val="19"/>
          <w:szCs w:val="19"/>
        </w:rPr>
        <w:t>※表示线上课程。</w:t>
      </w:r>
    </w:p>
    <w:p w14:paraId="1CA79481">
      <w:pPr>
        <w:numPr>
          <w:ilvl w:val="0"/>
          <w:numId w:val="0"/>
        </w:numPr>
        <w:adjustRightInd w:val="0"/>
        <w:snapToGrid w:val="0"/>
        <w:spacing w:line="240" w:lineRule="exact"/>
        <w:ind w:firstLine="570" w:firstLineChars="300"/>
        <w:rPr>
          <w:rFonts w:hint="eastAsia" w:ascii="方正书宋简体" w:hAnsi="楷体" w:eastAsia="方正书宋简体" w:cs="MS Gothic"/>
          <w:sz w:val="19"/>
          <w:szCs w:val="19"/>
        </w:rPr>
      </w:pPr>
      <w:r>
        <w:rPr>
          <w:rFonts w:hint="eastAsia" w:ascii="方正书宋简体" w:hAnsi="楷体" w:eastAsia="方正书宋简体" w:cs="MS Gothic"/>
          <w:sz w:val="19"/>
          <w:szCs w:val="19"/>
          <w:lang w:val="en-US" w:eastAsia="zh-CN"/>
        </w:rPr>
        <w:t>3.</w:t>
      </w:r>
      <w:r>
        <w:rPr>
          <w:rFonts w:hint="eastAsia" w:ascii="方正书宋简体" w:hAnsi="楷体" w:eastAsia="方正书宋简体" w:cs="MS Gothic"/>
          <w:sz w:val="19"/>
          <w:szCs w:val="19"/>
        </w:rPr>
        <w:t>思想政治理论课实践教学为1学分，分散在思想道德与法治、毛泽东思想和中国特色社会主义理论体系概论、习近平新时代中国特色社会主义思想概论三门思政课中进行。</w:t>
      </w:r>
    </w:p>
    <w:p w14:paraId="0A7ACB85">
      <w:pPr>
        <w:adjustRightInd w:val="0"/>
        <w:snapToGrid w:val="0"/>
        <w:spacing w:before="120" w:beforeLines="50" w:line="240" w:lineRule="exact"/>
        <w:rPr>
          <w:rFonts w:hint="eastAsia" w:ascii="方正书宋简体" w:hAnsi="楷体" w:eastAsia="方正书宋简体" w:cs="MS Gothic"/>
          <w:sz w:val="24"/>
        </w:rPr>
      </w:pPr>
      <w:bookmarkStart w:id="36" w:name="_GoBack"/>
      <w:bookmarkEnd w:id="36"/>
      <w:r>
        <w:rPr>
          <w:rFonts w:hint="eastAsia" w:ascii="方正书宋简体" w:hAnsi="楷体" w:eastAsia="方正书宋简体" w:cs="MS Gothic"/>
          <w:sz w:val="19"/>
          <w:szCs w:val="19"/>
          <w:lang w:val="en-US" w:eastAsia="zh-CN"/>
        </w:rPr>
        <w:br w:type="page"/>
      </w:r>
      <w:r>
        <w:rPr>
          <w:rFonts w:hint="eastAsia" w:ascii="方正黑体简体" w:hAnsi="楷体" w:eastAsia="方正黑体简体" w:cs="MS Gothic"/>
          <w:color w:val="000000"/>
          <w:sz w:val="24"/>
          <w:lang w:val="en-US" w:eastAsia="zh-CN"/>
        </w:rPr>
        <w:t>（二）学时与学分分配</w:t>
      </w:r>
    </w:p>
    <w:p w14:paraId="600D728B">
      <w:pPr>
        <w:adjustRightInd w:val="0"/>
        <w:snapToGrid w:val="0"/>
        <w:spacing w:after="120" w:afterLines="50" w:line="388" w:lineRule="exact"/>
        <w:jc w:val="center"/>
        <w:rPr>
          <w:rFonts w:hint="eastAsia" w:ascii="方正黑体简体" w:hAnsi="宋体" w:eastAsia="方正黑体简体" w:cs="Times New Roman"/>
          <w:bCs/>
          <w:sz w:val="24"/>
          <w:szCs w:val="24"/>
        </w:rPr>
      </w:pPr>
      <w:r>
        <w:rPr>
          <w:rFonts w:hint="eastAsia" w:ascii="方正黑体简体" w:hAnsi="宋体" w:eastAsia="方正黑体简体" w:cs="Times New Roman"/>
          <w:bCs/>
          <w:sz w:val="24"/>
          <w:szCs w:val="24"/>
        </w:rPr>
        <w:t>表</w:t>
      </w:r>
      <w:r>
        <w:rPr>
          <w:rFonts w:hint="eastAsia" w:ascii="方正黑体简体" w:hAnsi="宋体" w:eastAsia="方正黑体简体" w:cs="Times New Roman"/>
          <w:bCs/>
          <w:sz w:val="24"/>
          <w:szCs w:val="24"/>
          <w:lang w:val="en-US" w:eastAsia="zh-CN"/>
        </w:rPr>
        <w:t>5</w:t>
      </w:r>
      <w:r>
        <w:rPr>
          <w:rFonts w:hint="eastAsia" w:ascii="方正黑体简体" w:hAnsi="宋体" w:eastAsia="方正黑体简体" w:cs="Times New Roman"/>
          <w:bCs/>
          <w:sz w:val="24"/>
          <w:szCs w:val="24"/>
        </w:rPr>
        <w:t xml:space="preserve">  学时与学分分配表</w:t>
      </w:r>
    </w:p>
    <w:p w14:paraId="753B3F8F">
      <w:pPr>
        <w:keepNext w:val="0"/>
        <w:keepLines w:val="0"/>
        <w:pageBreakBefore w:val="0"/>
        <w:widowControl/>
        <w:kinsoku/>
        <w:wordWrap/>
        <w:overflowPunct/>
        <w:topLinePunct w:val="0"/>
        <w:bidi w:val="0"/>
        <w:spacing w:line="98" w:lineRule="exact"/>
      </w:pPr>
    </w:p>
    <w:tbl>
      <w:tblPr>
        <w:tblStyle w:val="14"/>
        <w:tblW w:w="94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96"/>
        <w:gridCol w:w="837"/>
        <w:gridCol w:w="779"/>
        <w:gridCol w:w="1429"/>
        <w:gridCol w:w="829"/>
        <w:gridCol w:w="1429"/>
        <w:gridCol w:w="883"/>
        <w:gridCol w:w="1429"/>
      </w:tblGrid>
      <w:tr w14:paraId="687590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796" w:type="dxa"/>
            <w:noWrap w:val="0"/>
            <w:vAlign w:val="center"/>
          </w:tcPr>
          <w:p w14:paraId="5F462173">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课程类型</w:t>
            </w:r>
          </w:p>
        </w:tc>
        <w:tc>
          <w:tcPr>
            <w:tcW w:w="837" w:type="dxa"/>
            <w:noWrap w:val="0"/>
            <w:vAlign w:val="center"/>
          </w:tcPr>
          <w:p w14:paraId="5E72F2D0">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学分数</w:t>
            </w:r>
          </w:p>
        </w:tc>
        <w:tc>
          <w:tcPr>
            <w:tcW w:w="779" w:type="dxa"/>
            <w:noWrap w:val="0"/>
            <w:vAlign w:val="center"/>
          </w:tcPr>
          <w:p w14:paraId="287CCB7C">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学时数</w:t>
            </w:r>
          </w:p>
        </w:tc>
        <w:tc>
          <w:tcPr>
            <w:tcW w:w="1429" w:type="dxa"/>
            <w:noWrap w:val="0"/>
            <w:vAlign w:val="center"/>
          </w:tcPr>
          <w:p w14:paraId="5D42A548">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占总学时</w:t>
            </w:r>
          </w:p>
          <w:p w14:paraId="190E1C25">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百分比（%）</w:t>
            </w:r>
          </w:p>
        </w:tc>
        <w:tc>
          <w:tcPr>
            <w:tcW w:w="829" w:type="dxa"/>
            <w:noWrap w:val="0"/>
            <w:vAlign w:val="center"/>
          </w:tcPr>
          <w:p w14:paraId="4026671F">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实践</w:t>
            </w:r>
          </w:p>
          <w:p w14:paraId="3D86BDAD">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学时</w:t>
            </w:r>
          </w:p>
        </w:tc>
        <w:tc>
          <w:tcPr>
            <w:tcW w:w="1429" w:type="dxa"/>
            <w:noWrap w:val="0"/>
            <w:vAlign w:val="center"/>
          </w:tcPr>
          <w:p w14:paraId="0D2F9A0E">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占总学时</w:t>
            </w:r>
          </w:p>
          <w:p w14:paraId="279444E0">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百分比（%）</w:t>
            </w:r>
          </w:p>
        </w:tc>
        <w:tc>
          <w:tcPr>
            <w:tcW w:w="883" w:type="dxa"/>
            <w:noWrap w:val="0"/>
            <w:vAlign w:val="center"/>
          </w:tcPr>
          <w:p w14:paraId="7F4C56A5">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选修课</w:t>
            </w:r>
          </w:p>
          <w:p w14:paraId="54C58555">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学时</w:t>
            </w:r>
          </w:p>
        </w:tc>
        <w:tc>
          <w:tcPr>
            <w:tcW w:w="1429" w:type="dxa"/>
            <w:noWrap w:val="0"/>
            <w:vAlign w:val="center"/>
          </w:tcPr>
          <w:p w14:paraId="2136B14B">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占总学时</w:t>
            </w:r>
          </w:p>
          <w:p w14:paraId="27DC8AC6">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百分比（%）</w:t>
            </w:r>
          </w:p>
        </w:tc>
      </w:tr>
      <w:tr w14:paraId="19A750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796" w:type="dxa"/>
            <w:noWrap w:val="0"/>
            <w:vAlign w:val="center"/>
          </w:tcPr>
          <w:p w14:paraId="0328C0AF">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公共基础课程</w:t>
            </w:r>
          </w:p>
        </w:tc>
        <w:tc>
          <w:tcPr>
            <w:tcW w:w="837" w:type="dxa"/>
            <w:noWrap w:val="0"/>
            <w:vAlign w:val="center"/>
          </w:tcPr>
          <w:p w14:paraId="6EDE006C">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49.5</w:t>
            </w:r>
          </w:p>
        </w:tc>
        <w:tc>
          <w:tcPr>
            <w:tcW w:w="779" w:type="dxa"/>
            <w:noWrap w:val="0"/>
            <w:vAlign w:val="center"/>
          </w:tcPr>
          <w:p w14:paraId="16202CF8">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926</w:t>
            </w:r>
          </w:p>
        </w:tc>
        <w:tc>
          <w:tcPr>
            <w:tcW w:w="1429" w:type="dxa"/>
            <w:noWrap w:val="0"/>
            <w:vAlign w:val="center"/>
          </w:tcPr>
          <w:p w14:paraId="083D3DB4">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33.6</w:t>
            </w:r>
          </w:p>
        </w:tc>
        <w:tc>
          <w:tcPr>
            <w:tcW w:w="829" w:type="dxa"/>
            <w:noWrap w:val="0"/>
            <w:vAlign w:val="center"/>
          </w:tcPr>
          <w:p w14:paraId="2E2D2732">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284</w:t>
            </w:r>
          </w:p>
        </w:tc>
        <w:tc>
          <w:tcPr>
            <w:tcW w:w="1429" w:type="dxa"/>
            <w:noWrap w:val="0"/>
            <w:vAlign w:val="center"/>
          </w:tcPr>
          <w:p w14:paraId="483F567C">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10.3</w:t>
            </w:r>
          </w:p>
        </w:tc>
        <w:tc>
          <w:tcPr>
            <w:tcW w:w="883" w:type="dxa"/>
            <w:noWrap w:val="0"/>
            <w:vAlign w:val="center"/>
          </w:tcPr>
          <w:p w14:paraId="58503933">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240</w:t>
            </w:r>
          </w:p>
        </w:tc>
        <w:tc>
          <w:tcPr>
            <w:tcW w:w="1429" w:type="dxa"/>
            <w:noWrap w:val="0"/>
            <w:vAlign w:val="center"/>
          </w:tcPr>
          <w:p w14:paraId="25AA90AA">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8.7</w:t>
            </w:r>
          </w:p>
        </w:tc>
      </w:tr>
      <w:tr w14:paraId="217A71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96" w:type="dxa"/>
            <w:noWrap w:val="0"/>
            <w:vAlign w:val="center"/>
          </w:tcPr>
          <w:p w14:paraId="759A82A5">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专业（技能）课程</w:t>
            </w:r>
          </w:p>
        </w:tc>
        <w:tc>
          <w:tcPr>
            <w:tcW w:w="837" w:type="dxa"/>
            <w:noWrap w:val="0"/>
            <w:vAlign w:val="center"/>
          </w:tcPr>
          <w:p w14:paraId="019AA49D">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101.5</w:t>
            </w:r>
          </w:p>
        </w:tc>
        <w:tc>
          <w:tcPr>
            <w:tcW w:w="779" w:type="dxa"/>
            <w:noWrap w:val="0"/>
            <w:vAlign w:val="center"/>
          </w:tcPr>
          <w:p w14:paraId="778CB8BD">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1832</w:t>
            </w:r>
          </w:p>
        </w:tc>
        <w:tc>
          <w:tcPr>
            <w:tcW w:w="1429" w:type="dxa"/>
            <w:noWrap w:val="0"/>
            <w:vAlign w:val="center"/>
          </w:tcPr>
          <w:p w14:paraId="2B6F3CC8">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66.4</w:t>
            </w:r>
          </w:p>
        </w:tc>
        <w:tc>
          <w:tcPr>
            <w:tcW w:w="829" w:type="dxa"/>
            <w:noWrap w:val="0"/>
            <w:vAlign w:val="center"/>
          </w:tcPr>
          <w:p w14:paraId="21EBDD42">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1394</w:t>
            </w:r>
          </w:p>
        </w:tc>
        <w:tc>
          <w:tcPr>
            <w:tcW w:w="1429" w:type="dxa"/>
            <w:noWrap w:val="0"/>
            <w:vAlign w:val="center"/>
          </w:tcPr>
          <w:p w14:paraId="3042D3B2">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50.5</w:t>
            </w:r>
          </w:p>
        </w:tc>
        <w:tc>
          <w:tcPr>
            <w:tcW w:w="883" w:type="dxa"/>
            <w:noWrap w:val="0"/>
            <w:vAlign w:val="center"/>
          </w:tcPr>
          <w:p w14:paraId="5AE463E4">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150</w:t>
            </w:r>
          </w:p>
        </w:tc>
        <w:tc>
          <w:tcPr>
            <w:tcW w:w="1429" w:type="dxa"/>
            <w:noWrap w:val="0"/>
            <w:vAlign w:val="center"/>
          </w:tcPr>
          <w:p w14:paraId="16DCB997">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5.4</w:t>
            </w:r>
          </w:p>
        </w:tc>
      </w:tr>
      <w:tr w14:paraId="08A419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96" w:type="dxa"/>
            <w:noWrap w:val="0"/>
            <w:vAlign w:val="center"/>
          </w:tcPr>
          <w:p w14:paraId="41FE745A">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总  计</w:t>
            </w:r>
          </w:p>
        </w:tc>
        <w:tc>
          <w:tcPr>
            <w:tcW w:w="837" w:type="dxa"/>
            <w:noWrap w:val="0"/>
            <w:vAlign w:val="center"/>
          </w:tcPr>
          <w:p w14:paraId="2B26642D">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150</w:t>
            </w:r>
          </w:p>
        </w:tc>
        <w:tc>
          <w:tcPr>
            <w:tcW w:w="779" w:type="dxa"/>
            <w:noWrap w:val="0"/>
            <w:vAlign w:val="center"/>
          </w:tcPr>
          <w:p w14:paraId="06861C05">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2758</w:t>
            </w:r>
          </w:p>
        </w:tc>
        <w:tc>
          <w:tcPr>
            <w:tcW w:w="1429" w:type="dxa"/>
            <w:noWrap w:val="0"/>
            <w:vAlign w:val="center"/>
          </w:tcPr>
          <w:p w14:paraId="0A019A7F">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100</w:t>
            </w:r>
          </w:p>
        </w:tc>
        <w:tc>
          <w:tcPr>
            <w:tcW w:w="829" w:type="dxa"/>
            <w:noWrap w:val="0"/>
            <w:vAlign w:val="center"/>
          </w:tcPr>
          <w:p w14:paraId="3E89062F">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1678</w:t>
            </w:r>
          </w:p>
        </w:tc>
        <w:tc>
          <w:tcPr>
            <w:tcW w:w="1429" w:type="dxa"/>
            <w:noWrap w:val="0"/>
            <w:vAlign w:val="center"/>
          </w:tcPr>
          <w:p w14:paraId="199FFFD2">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60.8</w:t>
            </w:r>
          </w:p>
        </w:tc>
        <w:tc>
          <w:tcPr>
            <w:tcW w:w="883" w:type="dxa"/>
            <w:noWrap w:val="0"/>
            <w:vAlign w:val="center"/>
          </w:tcPr>
          <w:p w14:paraId="10A4C327">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390</w:t>
            </w:r>
          </w:p>
        </w:tc>
        <w:tc>
          <w:tcPr>
            <w:tcW w:w="1429" w:type="dxa"/>
            <w:noWrap w:val="0"/>
            <w:vAlign w:val="center"/>
          </w:tcPr>
          <w:p w14:paraId="55062CF6">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14.1</w:t>
            </w:r>
          </w:p>
        </w:tc>
      </w:tr>
    </w:tbl>
    <w:p w14:paraId="7E7EA5A7">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r>
        <w:rPr>
          <w:rFonts w:hint="eastAsia" w:ascii="方正黑体简体" w:hAnsi="楷体" w:eastAsia="方正黑体简体" w:cs="MS Gothic"/>
          <w:color w:val="000000"/>
          <w:sz w:val="24"/>
          <w:lang w:val="en-US" w:eastAsia="zh-CN"/>
        </w:rPr>
        <w:t>（三）教学进程表</w:t>
      </w:r>
    </w:p>
    <w:p w14:paraId="65403858">
      <w:pPr>
        <w:adjustRightInd w:val="0"/>
        <w:snapToGrid w:val="0"/>
        <w:spacing w:after="120" w:afterLines="50" w:line="388" w:lineRule="exact"/>
        <w:jc w:val="center"/>
        <w:rPr>
          <w:rFonts w:hint="eastAsia" w:ascii="方正黑体简体" w:hAnsi="宋体" w:eastAsia="方正黑体简体" w:cs="Times New Roman"/>
          <w:bCs/>
          <w:sz w:val="24"/>
          <w:szCs w:val="24"/>
        </w:rPr>
      </w:pPr>
      <w:r>
        <w:rPr>
          <w:rFonts w:hint="eastAsia" w:ascii="方正黑体简体" w:hAnsi="宋体" w:eastAsia="方正黑体简体" w:cs="Times New Roman"/>
          <w:bCs/>
          <w:sz w:val="24"/>
          <w:szCs w:val="24"/>
        </w:rPr>
        <w:t>表</w:t>
      </w:r>
      <w:r>
        <w:rPr>
          <w:rFonts w:hint="eastAsia" w:ascii="方正黑体简体" w:hAnsi="宋体" w:eastAsia="方正黑体简体" w:cs="Times New Roman"/>
          <w:bCs/>
          <w:sz w:val="24"/>
          <w:szCs w:val="24"/>
          <w:lang w:val="en-US" w:eastAsia="zh-CN"/>
        </w:rPr>
        <w:t>6</w:t>
      </w:r>
      <w:r>
        <w:rPr>
          <w:rFonts w:hint="eastAsia" w:ascii="方正黑体简体" w:hAnsi="宋体" w:eastAsia="方正黑体简体" w:cs="Times New Roman"/>
          <w:bCs/>
          <w:sz w:val="24"/>
          <w:szCs w:val="24"/>
        </w:rPr>
        <w:t xml:space="preserve">  教学进程表</w:t>
      </w:r>
    </w:p>
    <w:tbl>
      <w:tblPr>
        <w:tblStyle w:val="1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8"/>
        <w:gridCol w:w="417"/>
        <w:gridCol w:w="418"/>
        <w:gridCol w:w="417"/>
        <w:gridCol w:w="418"/>
        <w:gridCol w:w="419"/>
        <w:gridCol w:w="416"/>
        <w:gridCol w:w="417"/>
        <w:gridCol w:w="418"/>
        <w:gridCol w:w="417"/>
        <w:gridCol w:w="418"/>
        <w:gridCol w:w="417"/>
        <w:gridCol w:w="418"/>
        <w:gridCol w:w="417"/>
        <w:gridCol w:w="425"/>
        <w:gridCol w:w="417"/>
        <w:gridCol w:w="418"/>
        <w:gridCol w:w="412"/>
        <w:gridCol w:w="423"/>
        <w:gridCol w:w="417"/>
        <w:gridCol w:w="388"/>
      </w:tblGrid>
      <w:tr w14:paraId="386FF3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1068" w:type="dxa"/>
            <w:tcBorders>
              <w:tl2br w:val="single" w:color="auto" w:sz="4" w:space="0"/>
            </w:tcBorders>
            <w:noWrap w:val="0"/>
            <w:vAlign w:val="center"/>
          </w:tcPr>
          <w:p w14:paraId="01D1E809">
            <w:pPr>
              <w:adjustRightInd w:val="0"/>
              <w:snapToGrid w:val="0"/>
              <w:ind w:firstLine="420" w:firstLineChars="200"/>
              <w:jc w:val="right"/>
              <w:rPr>
                <w:rFonts w:hint="eastAsia" w:ascii="方正书宋简体" w:hAnsi="宋体" w:eastAsia="方正书宋简体" w:cs="宋体"/>
                <w:szCs w:val="21"/>
              </w:rPr>
            </w:pPr>
            <w:r>
              <w:rPr>
                <w:rFonts w:hint="eastAsia" w:ascii="方正书宋简体" w:hAnsi="宋体" w:eastAsia="方正书宋简体" w:cs="宋体"/>
                <w:szCs w:val="21"/>
              </w:rPr>
              <w:t>周次</w:t>
            </w:r>
          </w:p>
          <w:p w14:paraId="364028BF">
            <w:pPr>
              <w:adjustRightInd w:val="0"/>
              <w:snapToGrid w:val="0"/>
              <w:rPr>
                <w:rFonts w:hint="eastAsia" w:ascii="方正书宋简体" w:hAnsi="宋体" w:eastAsia="方正书宋简体" w:cs="宋体"/>
                <w:szCs w:val="21"/>
              </w:rPr>
            </w:pPr>
          </w:p>
          <w:p w14:paraId="4EF5E4A4">
            <w:pPr>
              <w:adjustRightInd w:val="0"/>
              <w:snapToGrid w:val="0"/>
              <w:rPr>
                <w:rFonts w:hint="eastAsia" w:ascii="方正书宋简体" w:hAnsi="宋体" w:eastAsia="方正书宋简体" w:cs="宋体"/>
                <w:szCs w:val="21"/>
              </w:rPr>
            </w:pPr>
            <w:r>
              <w:rPr>
                <w:rFonts w:hint="eastAsia" w:ascii="方正书宋简体" w:hAnsi="宋体" w:eastAsia="方正书宋简体" w:cs="宋体"/>
                <w:szCs w:val="21"/>
              </w:rPr>
              <w:t>学期</w:t>
            </w:r>
          </w:p>
        </w:tc>
        <w:tc>
          <w:tcPr>
            <w:tcW w:w="417" w:type="dxa"/>
            <w:noWrap w:val="0"/>
            <w:vAlign w:val="center"/>
          </w:tcPr>
          <w:p w14:paraId="0521C735">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1</w:t>
            </w:r>
          </w:p>
        </w:tc>
        <w:tc>
          <w:tcPr>
            <w:tcW w:w="418" w:type="dxa"/>
            <w:noWrap w:val="0"/>
            <w:vAlign w:val="center"/>
          </w:tcPr>
          <w:p w14:paraId="615EFB6C">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2</w:t>
            </w:r>
          </w:p>
        </w:tc>
        <w:tc>
          <w:tcPr>
            <w:tcW w:w="417" w:type="dxa"/>
            <w:noWrap w:val="0"/>
            <w:vAlign w:val="center"/>
          </w:tcPr>
          <w:p w14:paraId="60EA8FE8">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3</w:t>
            </w:r>
          </w:p>
        </w:tc>
        <w:tc>
          <w:tcPr>
            <w:tcW w:w="418" w:type="dxa"/>
            <w:noWrap w:val="0"/>
            <w:vAlign w:val="center"/>
          </w:tcPr>
          <w:p w14:paraId="0626037B">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4</w:t>
            </w:r>
          </w:p>
        </w:tc>
        <w:tc>
          <w:tcPr>
            <w:tcW w:w="419" w:type="dxa"/>
            <w:noWrap w:val="0"/>
            <w:vAlign w:val="center"/>
          </w:tcPr>
          <w:p w14:paraId="6A5C89FD">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5</w:t>
            </w:r>
          </w:p>
        </w:tc>
        <w:tc>
          <w:tcPr>
            <w:tcW w:w="416" w:type="dxa"/>
            <w:noWrap w:val="0"/>
            <w:vAlign w:val="center"/>
          </w:tcPr>
          <w:p w14:paraId="463D8A89">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6</w:t>
            </w:r>
          </w:p>
        </w:tc>
        <w:tc>
          <w:tcPr>
            <w:tcW w:w="417" w:type="dxa"/>
            <w:noWrap w:val="0"/>
            <w:vAlign w:val="center"/>
          </w:tcPr>
          <w:p w14:paraId="05094342">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7</w:t>
            </w:r>
          </w:p>
        </w:tc>
        <w:tc>
          <w:tcPr>
            <w:tcW w:w="418" w:type="dxa"/>
            <w:noWrap w:val="0"/>
            <w:vAlign w:val="center"/>
          </w:tcPr>
          <w:p w14:paraId="348B3EA7">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8</w:t>
            </w:r>
          </w:p>
        </w:tc>
        <w:tc>
          <w:tcPr>
            <w:tcW w:w="417" w:type="dxa"/>
            <w:noWrap w:val="0"/>
            <w:vAlign w:val="center"/>
          </w:tcPr>
          <w:p w14:paraId="2669651D">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9</w:t>
            </w:r>
          </w:p>
        </w:tc>
        <w:tc>
          <w:tcPr>
            <w:tcW w:w="418" w:type="dxa"/>
            <w:noWrap w:val="0"/>
            <w:vAlign w:val="center"/>
          </w:tcPr>
          <w:p w14:paraId="1DD18FB1">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10</w:t>
            </w:r>
          </w:p>
        </w:tc>
        <w:tc>
          <w:tcPr>
            <w:tcW w:w="417" w:type="dxa"/>
            <w:noWrap w:val="0"/>
            <w:vAlign w:val="center"/>
          </w:tcPr>
          <w:p w14:paraId="38101D39">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11</w:t>
            </w:r>
          </w:p>
        </w:tc>
        <w:tc>
          <w:tcPr>
            <w:tcW w:w="418" w:type="dxa"/>
            <w:noWrap w:val="0"/>
            <w:vAlign w:val="center"/>
          </w:tcPr>
          <w:p w14:paraId="6106EB7E">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12</w:t>
            </w:r>
          </w:p>
        </w:tc>
        <w:tc>
          <w:tcPr>
            <w:tcW w:w="417" w:type="dxa"/>
            <w:noWrap w:val="0"/>
            <w:vAlign w:val="center"/>
          </w:tcPr>
          <w:p w14:paraId="11D036C0">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13</w:t>
            </w:r>
          </w:p>
        </w:tc>
        <w:tc>
          <w:tcPr>
            <w:tcW w:w="425" w:type="dxa"/>
            <w:noWrap w:val="0"/>
            <w:vAlign w:val="center"/>
          </w:tcPr>
          <w:p w14:paraId="6D49D228">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14</w:t>
            </w:r>
          </w:p>
        </w:tc>
        <w:tc>
          <w:tcPr>
            <w:tcW w:w="417" w:type="dxa"/>
            <w:noWrap w:val="0"/>
            <w:vAlign w:val="center"/>
          </w:tcPr>
          <w:p w14:paraId="0D045DF0">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15</w:t>
            </w:r>
          </w:p>
        </w:tc>
        <w:tc>
          <w:tcPr>
            <w:tcW w:w="418" w:type="dxa"/>
            <w:noWrap w:val="0"/>
            <w:vAlign w:val="center"/>
          </w:tcPr>
          <w:p w14:paraId="5ADA3E9A">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16</w:t>
            </w:r>
          </w:p>
        </w:tc>
        <w:tc>
          <w:tcPr>
            <w:tcW w:w="412" w:type="dxa"/>
            <w:noWrap w:val="0"/>
            <w:vAlign w:val="center"/>
          </w:tcPr>
          <w:p w14:paraId="75E4874F">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17</w:t>
            </w:r>
          </w:p>
        </w:tc>
        <w:tc>
          <w:tcPr>
            <w:tcW w:w="423" w:type="dxa"/>
            <w:noWrap w:val="0"/>
            <w:vAlign w:val="center"/>
          </w:tcPr>
          <w:p w14:paraId="0FBCBA3B">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18</w:t>
            </w:r>
          </w:p>
        </w:tc>
        <w:tc>
          <w:tcPr>
            <w:tcW w:w="417" w:type="dxa"/>
            <w:noWrap w:val="0"/>
            <w:vAlign w:val="center"/>
          </w:tcPr>
          <w:p w14:paraId="283121CE">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19</w:t>
            </w:r>
          </w:p>
        </w:tc>
        <w:tc>
          <w:tcPr>
            <w:tcW w:w="388" w:type="dxa"/>
            <w:noWrap w:val="0"/>
            <w:vAlign w:val="center"/>
          </w:tcPr>
          <w:p w14:paraId="731A05AC">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20</w:t>
            </w:r>
          </w:p>
        </w:tc>
      </w:tr>
      <w:tr w14:paraId="209287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1068" w:type="dxa"/>
            <w:noWrap w:val="0"/>
            <w:vAlign w:val="center"/>
          </w:tcPr>
          <w:p w14:paraId="5302C6B6">
            <w:pPr>
              <w:adjustRightInd w:val="0"/>
              <w:snapToGrid w:val="0"/>
              <w:jc w:val="center"/>
              <w:rPr>
                <w:rFonts w:hint="eastAsia" w:ascii="方正书宋简体" w:hAnsi="宋体" w:eastAsia="方正书宋简体" w:cs="宋体"/>
                <w:szCs w:val="21"/>
              </w:rPr>
            </w:pPr>
            <w:r>
              <w:rPr>
                <w:rFonts w:hint="eastAsia" w:ascii="方正书宋简体" w:hAnsi="宋体" w:eastAsia="方正书宋简体" w:cs="宋体"/>
                <w:szCs w:val="21"/>
              </w:rPr>
              <w:t>第一学期</w:t>
            </w:r>
          </w:p>
        </w:tc>
        <w:tc>
          <w:tcPr>
            <w:tcW w:w="1252" w:type="dxa"/>
            <w:gridSpan w:val="3"/>
            <w:noWrap w:val="0"/>
            <w:vAlign w:val="center"/>
          </w:tcPr>
          <w:p w14:paraId="2ACD9126">
            <w:pPr>
              <w:adjustRightInd w:val="0"/>
              <w:snapToGrid w:val="0"/>
              <w:ind w:left="-210" w:leftChars="-100" w:right="-210" w:rightChars="-100"/>
              <w:jc w:val="center"/>
              <w:rPr>
                <w:rFonts w:hint="eastAsia" w:ascii="方正书宋简体" w:hAnsi="宋体" w:eastAsia="方正书宋简体" w:cs="宋体"/>
                <w:szCs w:val="21"/>
              </w:rPr>
            </w:pPr>
            <w:r>
              <w:rPr>
                <w:rFonts w:hint="eastAsia" w:ascii="方正书宋简体" w:hAnsi="宋体" w:eastAsia="方正书宋简体" w:cs="宋体"/>
                <w:szCs w:val="21"/>
              </w:rPr>
              <w:t>入学教育与</w:t>
            </w:r>
          </w:p>
          <w:p w14:paraId="2E310805">
            <w:pPr>
              <w:adjustRightInd w:val="0"/>
              <w:snapToGrid w:val="0"/>
              <w:ind w:left="-210" w:leftChars="-100" w:right="-210" w:rightChars="-100"/>
              <w:jc w:val="center"/>
              <w:rPr>
                <w:rFonts w:hint="default" w:ascii="方正书宋简体" w:hAnsi="宋体" w:eastAsia="方正书宋简体" w:cs="宋体"/>
                <w:szCs w:val="21"/>
                <w:lang w:val="en-US" w:eastAsia="zh-CN"/>
              </w:rPr>
            </w:pPr>
            <w:r>
              <w:rPr>
                <w:rFonts w:hint="eastAsia" w:ascii="方正书宋简体" w:hAnsi="宋体" w:eastAsia="方正书宋简体" w:cs="宋体"/>
                <w:szCs w:val="21"/>
              </w:rPr>
              <w:t>军训</w:t>
            </w:r>
            <w:r>
              <w:rPr>
                <w:rFonts w:hint="eastAsia" w:ascii="方正书宋简体" w:hAnsi="宋体" w:eastAsia="方正书宋简体" w:cs="宋体"/>
                <w:szCs w:val="21"/>
                <w:lang w:val="en-US" w:eastAsia="zh-CN"/>
              </w:rPr>
              <w:t>技能训练</w:t>
            </w:r>
          </w:p>
        </w:tc>
        <w:tc>
          <w:tcPr>
            <w:tcW w:w="6270" w:type="dxa"/>
            <w:gridSpan w:val="15"/>
            <w:noWrap w:val="0"/>
            <w:vAlign w:val="center"/>
          </w:tcPr>
          <w:p w14:paraId="1FA7EFEC">
            <w:pPr>
              <w:adjustRightInd w:val="0"/>
              <w:snapToGrid w:val="0"/>
              <w:jc w:val="center"/>
              <w:rPr>
                <w:rFonts w:hint="eastAsia" w:ascii="方正书宋简体" w:hAnsi="宋体" w:eastAsia="方正书宋简体" w:cs="宋体"/>
                <w:szCs w:val="21"/>
              </w:rPr>
            </w:pPr>
            <w:r>
              <w:rPr>
                <w:rFonts w:hint="eastAsia" w:ascii="方正书宋简体" w:hAnsi="宋体" w:eastAsia="方正书宋简体" w:cs="宋体"/>
                <w:szCs w:val="21"/>
              </w:rPr>
              <w:t>课堂教学及机动一周</w:t>
            </w:r>
          </w:p>
        </w:tc>
        <w:tc>
          <w:tcPr>
            <w:tcW w:w="417" w:type="dxa"/>
            <w:noWrap w:val="0"/>
            <w:vAlign w:val="center"/>
          </w:tcPr>
          <w:p w14:paraId="204BF52B">
            <w:pPr>
              <w:adjustRightInd w:val="0"/>
              <w:snapToGrid w:val="0"/>
              <w:jc w:val="center"/>
              <w:rPr>
                <w:rFonts w:hint="eastAsia" w:ascii="方正书宋简体" w:hAnsi="宋体" w:eastAsia="方正书宋简体" w:cs="宋体"/>
                <w:szCs w:val="21"/>
              </w:rPr>
            </w:pPr>
            <w:r>
              <w:rPr>
                <w:rFonts w:hint="eastAsia" w:ascii="方正书宋简体" w:hAnsi="宋体" w:eastAsia="方正书宋简体" w:cs="宋体"/>
                <w:szCs w:val="21"/>
              </w:rPr>
              <w:t>考</w:t>
            </w:r>
          </w:p>
          <w:p w14:paraId="70964360">
            <w:pPr>
              <w:adjustRightInd w:val="0"/>
              <w:snapToGrid w:val="0"/>
              <w:jc w:val="center"/>
              <w:rPr>
                <w:rFonts w:hint="eastAsia" w:ascii="方正书宋简体" w:hAnsi="宋体" w:eastAsia="方正书宋简体" w:cs="宋体"/>
                <w:szCs w:val="21"/>
              </w:rPr>
            </w:pPr>
            <w:r>
              <w:rPr>
                <w:rFonts w:hint="eastAsia" w:ascii="方正书宋简体" w:hAnsi="宋体" w:eastAsia="方正书宋简体" w:cs="宋体"/>
                <w:szCs w:val="21"/>
              </w:rPr>
              <w:t>试</w:t>
            </w:r>
          </w:p>
        </w:tc>
        <w:tc>
          <w:tcPr>
            <w:tcW w:w="388" w:type="dxa"/>
            <w:vMerge w:val="restart"/>
            <w:noWrap w:val="0"/>
            <w:vAlign w:val="center"/>
          </w:tcPr>
          <w:p w14:paraId="262DFF6B">
            <w:pPr>
              <w:adjustRightInd w:val="0"/>
              <w:snapToGrid w:val="0"/>
              <w:jc w:val="center"/>
              <w:rPr>
                <w:rFonts w:hint="eastAsia" w:ascii="方正书宋简体" w:hAnsi="宋体" w:eastAsia="方正书宋简体" w:cs="宋体"/>
                <w:szCs w:val="21"/>
              </w:rPr>
            </w:pPr>
            <w:r>
              <w:rPr>
                <w:rFonts w:hint="eastAsia" w:ascii="方正书宋简体" w:hAnsi="宋体" w:eastAsia="方正书宋简体" w:cs="宋体"/>
                <w:szCs w:val="21"/>
              </w:rPr>
              <w:t>社</w:t>
            </w:r>
          </w:p>
          <w:p w14:paraId="7698EE3A">
            <w:pPr>
              <w:adjustRightInd w:val="0"/>
              <w:snapToGrid w:val="0"/>
              <w:jc w:val="center"/>
              <w:rPr>
                <w:rFonts w:hint="eastAsia" w:ascii="方正书宋简体" w:hAnsi="宋体" w:eastAsia="方正书宋简体" w:cs="宋体"/>
                <w:szCs w:val="21"/>
              </w:rPr>
            </w:pPr>
            <w:r>
              <w:rPr>
                <w:rFonts w:hint="eastAsia" w:ascii="方正书宋简体" w:hAnsi="宋体" w:eastAsia="方正书宋简体" w:cs="宋体"/>
                <w:szCs w:val="21"/>
              </w:rPr>
              <w:t>会</w:t>
            </w:r>
          </w:p>
          <w:p w14:paraId="36ABD2AB">
            <w:pPr>
              <w:adjustRightInd w:val="0"/>
              <w:snapToGrid w:val="0"/>
              <w:jc w:val="center"/>
              <w:rPr>
                <w:rFonts w:hint="eastAsia" w:ascii="方正书宋简体" w:hAnsi="宋体" w:eastAsia="方正书宋简体" w:cs="宋体"/>
                <w:szCs w:val="21"/>
              </w:rPr>
            </w:pPr>
            <w:r>
              <w:rPr>
                <w:rFonts w:hint="eastAsia" w:ascii="方正书宋简体" w:hAnsi="宋体" w:eastAsia="方正书宋简体" w:cs="宋体"/>
                <w:szCs w:val="21"/>
              </w:rPr>
              <w:t>实</w:t>
            </w:r>
          </w:p>
          <w:p w14:paraId="7CB95126">
            <w:pPr>
              <w:adjustRightInd w:val="0"/>
              <w:snapToGrid w:val="0"/>
              <w:jc w:val="center"/>
              <w:rPr>
                <w:rFonts w:hint="eastAsia" w:ascii="方正书宋简体" w:hAnsi="宋体" w:eastAsia="方正书宋简体" w:cs="宋体"/>
                <w:szCs w:val="21"/>
              </w:rPr>
            </w:pPr>
            <w:r>
              <w:rPr>
                <w:rFonts w:hint="eastAsia" w:ascii="方正书宋简体" w:hAnsi="宋体" w:eastAsia="方正书宋简体" w:cs="宋体"/>
                <w:szCs w:val="21"/>
              </w:rPr>
              <w:t>践</w:t>
            </w:r>
          </w:p>
        </w:tc>
      </w:tr>
      <w:tr w14:paraId="34F05E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1068" w:type="dxa"/>
            <w:noWrap w:val="0"/>
            <w:vAlign w:val="center"/>
          </w:tcPr>
          <w:p w14:paraId="48041509">
            <w:pPr>
              <w:adjustRightInd w:val="0"/>
              <w:snapToGrid w:val="0"/>
              <w:jc w:val="center"/>
              <w:rPr>
                <w:rFonts w:hint="eastAsia" w:ascii="方正书宋简体" w:hAnsi="宋体" w:eastAsia="方正书宋简体" w:cs="宋体"/>
                <w:szCs w:val="21"/>
              </w:rPr>
            </w:pPr>
            <w:r>
              <w:rPr>
                <w:rFonts w:hint="eastAsia" w:ascii="方正书宋简体" w:hAnsi="宋体" w:eastAsia="方正书宋简体" w:cs="宋体"/>
                <w:szCs w:val="21"/>
              </w:rPr>
              <w:t>第二学期</w:t>
            </w:r>
          </w:p>
        </w:tc>
        <w:tc>
          <w:tcPr>
            <w:tcW w:w="7522" w:type="dxa"/>
            <w:gridSpan w:val="18"/>
            <w:noWrap w:val="0"/>
            <w:vAlign w:val="center"/>
          </w:tcPr>
          <w:p w14:paraId="7C18D4D5">
            <w:pPr>
              <w:adjustRightInd w:val="0"/>
              <w:snapToGrid w:val="0"/>
              <w:jc w:val="center"/>
              <w:rPr>
                <w:rFonts w:hint="eastAsia" w:ascii="方正书宋简体" w:hAnsi="宋体" w:eastAsia="方正书宋简体" w:cs="宋体"/>
                <w:szCs w:val="21"/>
              </w:rPr>
            </w:pPr>
            <w:r>
              <w:rPr>
                <w:rFonts w:hint="eastAsia" w:ascii="方正书宋简体" w:hAnsi="宋体" w:eastAsia="方正书宋简体" w:cs="宋体"/>
                <w:szCs w:val="21"/>
              </w:rPr>
              <w:t>课堂教学及机动一周</w:t>
            </w:r>
          </w:p>
        </w:tc>
        <w:tc>
          <w:tcPr>
            <w:tcW w:w="417" w:type="dxa"/>
            <w:noWrap w:val="0"/>
            <w:vAlign w:val="center"/>
          </w:tcPr>
          <w:p w14:paraId="0FE797F9">
            <w:pPr>
              <w:adjustRightInd w:val="0"/>
              <w:snapToGrid w:val="0"/>
              <w:jc w:val="center"/>
              <w:rPr>
                <w:rFonts w:hint="eastAsia" w:ascii="方正书宋简体" w:hAnsi="宋体" w:eastAsia="方正书宋简体" w:cs="宋体"/>
                <w:szCs w:val="21"/>
              </w:rPr>
            </w:pPr>
            <w:r>
              <w:rPr>
                <w:rFonts w:hint="eastAsia" w:ascii="方正书宋简体" w:hAnsi="宋体" w:eastAsia="方正书宋简体" w:cs="宋体"/>
                <w:szCs w:val="21"/>
              </w:rPr>
              <w:t>考</w:t>
            </w:r>
          </w:p>
          <w:p w14:paraId="56924630">
            <w:pPr>
              <w:adjustRightInd w:val="0"/>
              <w:snapToGrid w:val="0"/>
              <w:jc w:val="center"/>
              <w:rPr>
                <w:rFonts w:hint="eastAsia" w:ascii="方正书宋简体" w:hAnsi="宋体" w:eastAsia="方正书宋简体" w:cs="宋体"/>
                <w:szCs w:val="21"/>
              </w:rPr>
            </w:pPr>
            <w:r>
              <w:rPr>
                <w:rFonts w:hint="eastAsia" w:ascii="方正书宋简体" w:hAnsi="宋体" w:eastAsia="方正书宋简体" w:cs="宋体"/>
                <w:szCs w:val="21"/>
              </w:rPr>
              <w:t>试</w:t>
            </w:r>
          </w:p>
        </w:tc>
        <w:tc>
          <w:tcPr>
            <w:tcW w:w="388" w:type="dxa"/>
            <w:vMerge w:val="continue"/>
            <w:noWrap w:val="0"/>
            <w:vAlign w:val="center"/>
          </w:tcPr>
          <w:p w14:paraId="1C203A90">
            <w:pPr>
              <w:adjustRightInd w:val="0"/>
              <w:snapToGrid w:val="0"/>
              <w:jc w:val="center"/>
              <w:rPr>
                <w:rFonts w:hint="eastAsia" w:ascii="方正书宋简体" w:hAnsi="宋体" w:eastAsia="方正书宋简体" w:cs="宋体"/>
                <w:szCs w:val="21"/>
              </w:rPr>
            </w:pPr>
          </w:p>
        </w:tc>
      </w:tr>
      <w:tr w14:paraId="0AB614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1068" w:type="dxa"/>
            <w:noWrap w:val="0"/>
            <w:vAlign w:val="center"/>
          </w:tcPr>
          <w:p w14:paraId="48BAA889">
            <w:pPr>
              <w:adjustRightInd w:val="0"/>
              <w:snapToGrid w:val="0"/>
              <w:jc w:val="center"/>
              <w:rPr>
                <w:rFonts w:hint="eastAsia" w:ascii="方正书宋简体" w:hAnsi="宋体" w:eastAsia="方正书宋简体" w:cs="宋体"/>
                <w:szCs w:val="21"/>
              </w:rPr>
            </w:pPr>
            <w:r>
              <w:rPr>
                <w:rFonts w:hint="eastAsia" w:ascii="方正书宋简体" w:hAnsi="宋体" w:eastAsia="方正书宋简体" w:cs="宋体"/>
                <w:szCs w:val="21"/>
              </w:rPr>
              <w:t>第三学期</w:t>
            </w:r>
          </w:p>
        </w:tc>
        <w:tc>
          <w:tcPr>
            <w:tcW w:w="7522" w:type="dxa"/>
            <w:gridSpan w:val="18"/>
            <w:noWrap w:val="0"/>
            <w:vAlign w:val="center"/>
          </w:tcPr>
          <w:p w14:paraId="7C3BA8DF">
            <w:pPr>
              <w:adjustRightInd w:val="0"/>
              <w:snapToGrid w:val="0"/>
              <w:jc w:val="center"/>
              <w:rPr>
                <w:rFonts w:hint="eastAsia" w:ascii="方正书宋简体" w:hAnsi="宋体" w:eastAsia="方正书宋简体" w:cs="宋体"/>
                <w:szCs w:val="21"/>
              </w:rPr>
            </w:pPr>
            <w:r>
              <w:rPr>
                <w:rFonts w:hint="eastAsia" w:ascii="方正书宋简体" w:hAnsi="宋体" w:eastAsia="方正书宋简体" w:cs="宋体"/>
                <w:szCs w:val="21"/>
              </w:rPr>
              <w:t>课堂教学及机动一周</w:t>
            </w:r>
          </w:p>
        </w:tc>
        <w:tc>
          <w:tcPr>
            <w:tcW w:w="417" w:type="dxa"/>
            <w:noWrap w:val="0"/>
            <w:vAlign w:val="center"/>
          </w:tcPr>
          <w:p w14:paraId="0F73ECE4">
            <w:pPr>
              <w:adjustRightInd w:val="0"/>
              <w:snapToGrid w:val="0"/>
              <w:jc w:val="center"/>
              <w:rPr>
                <w:rFonts w:hint="eastAsia" w:ascii="方正书宋简体" w:hAnsi="宋体" w:eastAsia="方正书宋简体" w:cs="宋体"/>
                <w:szCs w:val="21"/>
              </w:rPr>
            </w:pPr>
            <w:r>
              <w:rPr>
                <w:rFonts w:hint="eastAsia" w:ascii="方正书宋简体" w:hAnsi="宋体" w:eastAsia="方正书宋简体" w:cs="宋体"/>
                <w:szCs w:val="21"/>
              </w:rPr>
              <w:t>考</w:t>
            </w:r>
          </w:p>
          <w:p w14:paraId="763D326C">
            <w:pPr>
              <w:adjustRightInd w:val="0"/>
              <w:snapToGrid w:val="0"/>
              <w:jc w:val="center"/>
              <w:rPr>
                <w:rFonts w:hint="eastAsia" w:ascii="方正书宋简体" w:hAnsi="宋体" w:eastAsia="方正书宋简体" w:cs="宋体"/>
                <w:szCs w:val="21"/>
              </w:rPr>
            </w:pPr>
            <w:r>
              <w:rPr>
                <w:rFonts w:hint="eastAsia" w:ascii="方正书宋简体" w:hAnsi="宋体" w:eastAsia="方正书宋简体" w:cs="宋体"/>
                <w:szCs w:val="21"/>
              </w:rPr>
              <w:t>试</w:t>
            </w:r>
          </w:p>
        </w:tc>
        <w:tc>
          <w:tcPr>
            <w:tcW w:w="388" w:type="dxa"/>
            <w:vMerge w:val="continue"/>
            <w:noWrap w:val="0"/>
            <w:vAlign w:val="center"/>
          </w:tcPr>
          <w:p w14:paraId="3EA5F69A">
            <w:pPr>
              <w:adjustRightInd w:val="0"/>
              <w:snapToGrid w:val="0"/>
              <w:jc w:val="center"/>
              <w:rPr>
                <w:rFonts w:hint="eastAsia" w:ascii="方正书宋简体" w:hAnsi="宋体" w:eastAsia="方正书宋简体" w:cs="宋体"/>
                <w:szCs w:val="21"/>
              </w:rPr>
            </w:pPr>
          </w:p>
        </w:tc>
      </w:tr>
      <w:tr w14:paraId="36FA14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1068" w:type="dxa"/>
            <w:noWrap w:val="0"/>
            <w:vAlign w:val="center"/>
          </w:tcPr>
          <w:p w14:paraId="513E8028">
            <w:pPr>
              <w:adjustRightInd w:val="0"/>
              <w:snapToGrid w:val="0"/>
              <w:jc w:val="center"/>
              <w:rPr>
                <w:rFonts w:hint="eastAsia" w:ascii="方正书宋简体" w:hAnsi="宋体" w:eastAsia="方正书宋简体" w:cs="宋体"/>
                <w:szCs w:val="21"/>
              </w:rPr>
            </w:pPr>
            <w:r>
              <w:rPr>
                <w:rFonts w:hint="eastAsia" w:ascii="方正书宋简体" w:hAnsi="宋体" w:eastAsia="方正书宋简体" w:cs="宋体"/>
                <w:szCs w:val="21"/>
              </w:rPr>
              <w:t>第四学期</w:t>
            </w:r>
          </w:p>
        </w:tc>
        <w:tc>
          <w:tcPr>
            <w:tcW w:w="7522" w:type="dxa"/>
            <w:gridSpan w:val="18"/>
            <w:noWrap w:val="0"/>
            <w:vAlign w:val="center"/>
          </w:tcPr>
          <w:p w14:paraId="2450EEC8">
            <w:pPr>
              <w:adjustRightInd w:val="0"/>
              <w:snapToGrid w:val="0"/>
              <w:jc w:val="center"/>
              <w:rPr>
                <w:rFonts w:hint="eastAsia" w:ascii="方正书宋简体" w:hAnsi="宋体" w:eastAsia="方正书宋简体" w:cs="宋体"/>
                <w:szCs w:val="21"/>
              </w:rPr>
            </w:pPr>
            <w:r>
              <w:rPr>
                <w:rFonts w:hint="eastAsia" w:ascii="方正书宋简体" w:hAnsi="宋体" w:eastAsia="方正书宋简体" w:cs="宋体"/>
                <w:szCs w:val="21"/>
              </w:rPr>
              <w:t>课堂教学及机动一周</w:t>
            </w:r>
          </w:p>
        </w:tc>
        <w:tc>
          <w:tcPr>
            <w:tcW w:w="417" w:type="dxa"/>
            <w:noWrap w:val="0"/>
            <w:vAlign w:val="center"/>
          </w:tcPr>
          <w:p w14:paraId="05068909">
            <w:pPr>
              <w:adjustRightInd w:val="0"/>
              <w:snapToGrid w:val="0"/>
              <w:jc w:val="center"/>
              <w:rPr>
                <w:rFonts w:hint="eastAsia" w:ascii="方正书宋简体" w:hAnsi="宋体" w:eastAsia="方正书宋简体" w:cs="宋体"/>
                <w:szCs w:val="21"/>
              </w:rPr>
            </w:pPr>
            <w:r>
              <w:rPr>
                <w:rFonts w:hint="eastAsia" w:ascii="方正书宋简体" w:hAnsi="宋体" w:eastAsia="方正书宋简体" w:cs="宋体"/>
                <w:szCs w:val="21"/>
              </w:rPr>
              <w:t>考</w:t>
            </w:r>
          </w:p>
          <w:p w14:paraId="2287B461">
            <w:pPr>
              <w:adjustRightInd w:val="0"/>
              <w:snapToGrid w:val="0"/>
              <w:jc w:val="center"/>
              <w:rPr>
                <w:rFonts w:hint="eastAsia" w:ascii="方正书宋简体" w:hAnsi="宋体" w:eastAsia="方正书宋简体" w:cs="宋体"/>
                <w:szCs w:val="21"/>
              </w:rPr>
            </w:pPr>
            <w:r>
              <w:rPr>
                <w:rFonts w:hint="eastAsia" w:ascii="方正书宋简体" w:hAnsi="宋体" w:eastAsia="方正书宋简体" w:cs="宋体"/>
                <w:szCs w:val="21"/>
              </w:rPr>
              <w:t>试</w:t>
            </w:r>
          </w:p>
        </w:tc>
        <w:tc>
          <w:tcPr>
            <w:tcW w:w="388" w:type="dxa"/>
            <w:vMerge w:val="continue"/>
            <w:noWrap w:val="0"/>
            <w:vAlign w:val="center"/>
          </w:tcPr>
          <w:p w14:paraId="4FB03898">
            <w:pPr>
              <w:adjustRightInd w:val="0"/>
              <w:snapToGrid w:val="0"/>
              <w:jc w:val="center"/>
              <w:rPr>
                <w:rFonts w:hint="eastAsia" w:ascii="方正书宋简体" w:hAnsi="宋体" w:eastAsia="方正书宋简体" w:cs="宋体"/>
                <w:szCs w:val="21"/>
              </w:rPr>
            </w:pPr>
          </w:p>
        </w:tc>
      </w:tr>
      <w:tr w14:paraId="569258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1068" w:type="dxa"/>
            <w:noWrap w:val="0"/>
            <w:vAlign w:val="center"/>
          </w:tcPr>
          <w:p w14:paraId="4D3A2279">
            <w:pPr>
              <w:adjustRightInd w:val="0"/>
              <w:snapToGrid w:val="0"/>
              <w:jc w:val="center"/>
              <w:rPr>
                <w:rFonts w:hint="eastAsia" w:ascii="方正书宋简体" w:hAnsi="宋体" w:eastAsia="方正书宋简体" w:cs="宋体"/>
                <w:szCs w:val="21"/>
              </w:rPr>
            </w:pPr>
            <w:r>
              <w:rPr>
                <w:rFonts w:hint="eastAsia" w:ascii="方正书宋简体" w:hAnsi="宋体" w:eastAsia="方正书宋简体" w:cs="宋体"/>
                <w:szCs w:val="21"/>
              </w:rPr>
              <w:t>第五学期</w:t>
            </w:r>
          </w:p>
        </w:tc>
        <w:tc>
          <w:tcPr>
            <w:tcW w:w="4175" w:type="dxa"/>
            <w:gridSpan w:val="10"/>
            <w:noWrap w:val="0"/>
            <w:vAlign w:val="center"/>
          </w:tcPr>
          <w:p w14:paraId="01C2317B">
            <w:pPr>
              <w:adjustRightInd w:val="0"/>
              <w:snapToGrid w:val="0"/>
              <w:jc w:val="center"/>
              <w:rPr>
                <w:rFonts w:hint="eastAsia" w:ascii="方正书宋简体" w:hAnsi="宋体" w:eastAsia="方正书宋简体" w:cs="宋体"/>
                <w:szCs w:val="21"/>
              </w:rPr>
            </w:pPr>
            <w:r>
              <w:rPr>
                <w:rFonts w:hint="eastAsia" w:ascii="方正书宋简体" w:hAnsi="宋体" w:eastAsia="方正书宋简体" w:cs="宋体"/>
                <w:szCs w:val="21"/>
              </w:rPr>
              <w:t>课堂教学</w:t>
            </w:r>
          </w:p>
        </w:tc>
        <w:tc>
          <w:tcPr>
            <w:tcW w:w="4152" w:type="dxa"/>
            <w:gridSpan w:val="10"/>
            <w:noWrap w:val="0"/>
            <w:vAlign w:val="center"/>
          </w:tcPr>
          <w:p w14:paraId="63549BBB">
            <w:pPr>
              <w:adjustRightInd w:val="0"/>
              <w:snapToGrid w:val="0"/>
              <w:jc w:val="center"/>
              <w:rPr>
                <w:rFonts w:hint="default" w:ascii="方正书宋简体" w:hAnsi="宋体" w:eastAsia="方正书宋简体" w:cs="宋体"/>
                <w:szCs w:val="21"/>
                <w:lang w:val="en-US" w:eastAsia="zh-CN"/>
              </w:rPr>
            </w:pPr>
            <w:r>
              <w:rPr>
                <w:rFonts w:hint="eastAsia" w:ascii="方正书宋简体" w:hAnsi="宋体" w:eastAsia="方正书宋简体" w:cs="宋体"/>
                <w:szCs w:val="21"/>
                <w:lang w:val="en-US" w:eastAsia="zh-CN"/>
              </w:rPr>
              <w:t>岗位实习</w:t>
            </w:r>
          </w:p>
        </w:tc>
      </w:tr>
      <w:tr w14:paraId="2DDE23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1068" w:type="dxa"/>
            <w:noWrap w:val="0"/>
            <w:vAlign w:val="center"/>
          </w:tcPr>
          <w:p w14:paraId="2871878C">
            <w:pPr>
              <w:adjustRightInd w:val="0"/>
              <w:snapToGrid w:val="0"/>
              <w:jc w:val="center"/>
              <w:rPr>
                <w:rFonts w:hint="eastAsia" w:ascii="方正书宋简体" w:hAnsi="宋体" w:eastAsia="方正书宋简体" w:cs="宋体"/>
                <w:szCs w:val="21"/>
              </w:rPr>
            </w:pPr>
            <w:r>
              <w:rPr>
                <w:rFonts w:hint="eastAsia" w:ascii="方正书宋简体" w:hAnsi="宋体" w:eastAsia="方正书宋简体" w:cs="宋体"/>
                <w:szCs w:val="21"/>
              </w:rPr>
              <w:t>第六学期</w:t>
            </w:r>
          </w:p>
        </w:tc>
        <w:tc>
          <w:tcPr>
            <w:tcW w:w="6687" w:type="dxa"/>
            <w:gridSpan w:val="16"/>
            <w:noWrap w:val="0"/>
            <w:vAlign w:val="center"/>
          </w:tcPr>
          <w:p w14:paraId="0D48B23B">
            <w:pPr>
              <w:adjustRightInd w:val="0"/>
              <w:snapToGrid w:val="0"/>
              <w:spacing w:line="240" w:lineRule="exact"/>
              <w:jc w:val="center"/>
              <w:rPr>
                <w:rFonts w:hint="eastAsia" w:ascii="方正书宋简体" w:hAnsi="宋体" w:eastAsia="方正书宋简体" w:cs="宋体"/>
                <w:szCs w:val="21"/>
                <w:lang w:val="en-US" w:eastAsia="zh-CN"/>
              </w:rPr>
            </w:pPr>
            <w:r>
              <w:rPr>
                <w:rFonts w:hint="eastAsia" w:ascii="方正书宋简体" w:hAnsi="宋体" w:eastAsia="方正书宋简体" w:cs="宋体"/>
                <w:szCs w:val="21"/>
                <w:lang w:val="en-US" w:eastAsia="zh-CN"/>
              </w:rPr>
              <w:t>岗位</w:t>
            </w:r>
            <w:r>
              <w:rPr>
                <w:rFonts w:hint="eastAsia" w:ascii="方正书宋简体" w:hAnsi="宋体" w:eastAsia="方正书宋简体" w:cs="宋体"/>
                <w:szCs w:val="21"/>
              </w:rPr>
              <w:t>实习</w:t>
            </w:r>
          </w:p>
        </w:tc>
        <w:tc>
          <w:tcPr>
            <w:tcW w:w="1640" w:type="dxa"/>
            <w:gridSpan w:val="4"/>
            <w:noWrap w:val="0"/>
            <w:vAlign w:val="center"/>
          </w:tcPr>
          <w:p w14:paraId="2F59CF18">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default" w:ascii="方正书宋简体" w:hAnsi="宋体" w:eastAsia="方正书宋简体" w:cs="宋体"/>
                <w:szCs w:val="21"/>
                <w:lang w:val="en-US" w:eastAsia="zh-CN"/>
              </w:rPr>
            </w:pPr>
            <w:r>
              <w:rPr>
                <w:rFonts w:hint="eastAsia" w:ascii="方正书宋简体" w:hAnsi="宋体" w:eastAsia="方正书宋简体" w:cs="宋体"/>
                <w:szCs w:val="21"/>
                <w:lang w:val="en-US" w:eastAsia="zh-CN"/>
              </w:rPr>
              <w:t>毕业成绩审核及毕业手续办理</w:t>
            </w:r>
          </w:p>
        </w:tc>
      </w:tr>
    </w:tbl>
    <w:p w14:paraId="1849F430">
      <w:pPr>
        <w:adjustRightInd w:val="0"/>
        <w:snapToGrid w:val="0"/>
        <w:spacing w:before="120" w:beforeLines="50" w:after="120" w:afterLines="50" w:line="380" w:lineRule="exact"/>
        <w:ind w:firstLine="560" w:firstLineChars="200"/>
        <w:rPr>
          <w:rFonts w:hint="eastAsia" w:ascii="方正黑体简体" w:hAnsi="楷体" w:eastAsia="方正黑体简体" w:cs="MS Gothic"/>
          <w:color w:val="000000"/>
          <w:sz w:val="28"/>
          <w:szCs w:val="28"/>
          <w:lang w:val="en-US" w:eastAsia="zh-CN"/>
        </w:rPr>
      </w:pPr>
      <w:r>
        <w:rPr>
          <w:rFonts w:hint="eastAsia" w:ascii="方正黑体简体" w:hAnsi="楷体" w:eastAsia="方正黑体简体" w:cs="MS Gothic"/>
          <w:color w:val="000000"/>
          <w:sz w:val="28"/>
          <w:szCs w:val="28"/>
          <w:lang w:val="en-US" w:eastAsia="zh-CN"/>
        </w:rPr>
        <w:t>九、实施保障</w:t>
      </w:r>
      <w:bookmarkEnd w:id="24"/>
      <w:bookmarkEnd w:id="25"/>
    </w:p>
    <w:p w14:paraId="4CE0BED7">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bookmarkStart w:id="26" w:name="_Toc1729"/>
      <w:r>
        <w:rPr>
          <w:rFonts w:hint="eastAsia" w:ascii="方正黑体简体" w:hAnsi="楷体" w:eastAsia="方正黑体简体" w:cs="MS Gothic"/>
          <w:color w:val="000000"/>
          <w:sz w:val="24"/>
          <w:lang w:val="en-US" w:eastAsia="zh-CN"/>
        </w:rPr>
        <w:t>（一）师资队伍</w:t>
      </w:r>
      <w:bookmarkEnd w:id="26"/>
    </w:p>
    <w:p w14:paraId="4A7AA055">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bookmarkStart w:id="27" w:name="_Toc19441"/>
      <w:r>
        <w:rPr>
          <w:rFonts w:hint="eastAsia" w:ascii="方正书宋简体" w:hAnsi="楷体" w:eastAsia="方正书宋简体" w:cs="MS Gothic"/>
          <w:color w:val="000000"/>
          <w:sz w:val="24"/>
          <w:lang w:eastAsia="zh-CN"/>
        </w:rPr>
        <w:t>机电一体化技术专业教学团队为省级教学团队、省级职业教育教学创新团队，团队中共有22人，期中教授3人，副教授9人，讲师6人，助教3人；工程师3人，技师7人，具有硕士学位14人，兼职教师6人。团队平均年龄38岁，老中青结合，结构合理；专业涉及检测、机械制造、控制工程、电气自动化等专业，“双师型”教师比例达到85%。兼职教师应主要来自于行业企业，负责学生技能训练、认识实习、顶岗实习等教学任务。团队构成科学，专兼结合，为专业建设及人才培养提供了坚实的团队保障。</w:t>
      </w:r>
    </w:p>
    <w:p w14:paraId="21A5C73C">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r>
        <w:rPr>
          <w:rFonts w:hint="eastAsia" w:ascii="方正黑体简体" w:hAnsi="楷体" w:eastAsia="方正黑体简体" w:cs="MS Gothic"/>
          <w:color w:val="000000"/>
          <w:sz w:val="24"/>
          <w:lang w:val="en-US" w:eastAsia="zh-CN"/>
        </w:rPr>
        <w:t>（二）教学设施</w:t>
      </w:r>
      <w:bookmarkEnd w:id="27"/>
    </w:p>
    <w:p w14:paraId="47F51FF6">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bookmarkStart w:id="28" w:name="_Toc455"/>
      <w:r>
        <w:rPr>
          <w:rFonts w:hint="eastAsia" w:ascii="方正书宋简体" w:hAnsi="楷体" w:eastAsia="方正书宋简体" w:cs="MS Gothic"/>
          <w:color w:val="000000"/>
          <w:sz w:val="24"/>
          <w:lang w:eastAsia="zh-CN"/>
        </w:rPr>
        <w:t>本专业具有完备的校内实训条件，专业实验设备总值达2000万元，实验实训教学设备470多台套，各类实验实训室21个，实训车间2个，其中中央财政支持的国家级实训基地2个电工电子及自动化技术实训基地和机械制造实训基地，省示范性实训基地1个机电一体化技术实训基地。校内实训条件从规模、技术先进性、功能完整性等位于全省前列。</w:t>
      </w:r>
    </w:p>
    <w:p w14:paraId="71FB6FC2">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本专业建有20余个校外紧密企业实习基地。主要企业有富士康集团、中原特钢有限公司、河南济源钢铁集团有限公司、郑州海尔集团、豫光金铅股份有限公司和无锡奥特维科技股份有限公司等，共同开展课程教学、专业建设、学生就业、项目开发、技术服务等方面合作。</w:t>
      </w:r>
    </w:p>
    <w:p w14:paraId="29D52253">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目前，学院已建成数字化校园，每间教室均升级为多媒体投影教室，并且为每位教职工配置了一台办公电脑，学院购买或自己开发了多类基于网络的应用软件，如OA协同办公系统、教务系统、学工系统、迎新系统、实习管理系统等，实现了教育教学、管理与服务工作的现代化，为学院教育教学、科研、管理和师生生活提供便捷的信息化平台，达到了提高工作效率、提升教学质量、提高人才培养水平的目标。</w:t>
      </w:r>
    </w:p>
    <w:p w14:paraId="10E2971A">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r>
        <w:rPr>
          <w:rFonts w:hint="eastAsia" w:ascii="方正黑体简体" w:hAnsi="楷体" w:eastAsia="方正黑体简体" w:cs="MS Gothic"/>
          <w:color w:val="000000"/>
          <w:sz w:val="24"/>
          <w:lang w:val="en-US" w:eastAsia="zh-CN"/>
        </w:rPr>
        <w:t>（三）教学资源</w:t>
      </w:r>
      <w:bookmarkEnd w:id="28"/>
    </w:p>
    <w:p w14:paraId="7A107F77">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bookmarkStart w:id="29" w:name="_Toc23943"/>
      <w:r>
        <w:rPr>
          <w:rFonts w:hint="eastAsia" w:ascii="方正书宋简体" w:hAnsi="楷体" w:eastAsia="方正书宋简体" w:cs="MS Gothic"/>
          <w:color w:val="000000"/>
          <w:sz w:val="24"/>
          <w:lang w:eastAsia="zh-CN"/>
        </w:rPr>
        <w:t>（1）教材</w:t>
      </w:r>
    </w:p>
    <w:p w14:paraId="04FD9721">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有省级立体化教材1门，省级职业教育规划教材4门，校企合作教材13门。在选用教材时有如下原则：优先选用近3年出版的新教材和各级各类获奖教材，鼓励选用教育主管部门或教学指导委员会推荐教材；选用先进的、能反映机电产品应用与设计，特别在自动生产线安装与维护专业发展前沿的高质量教材；综合课程，尤其是专业核心课程，建议专业教师编写更符合教学要求、更能体现课程体系科学、更加结合专业实际的特色教材。</w:t>
      </w:r>
    </w:p>
    <w:p w14:paraId="53C47B03">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（2）其他图书</w:t>
      </w:r>
    </w:p>
    <w:p w14:paraId="0ED51853">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本专业有着丰富的教学资源，学院拥有国家一级图书馆和国内领先省内一流的职业技能实训中心，馆藏纸质图书82余万册，中文纸质专业期刊500余种，可供学生进行学习。有电气和机电类（机床电气设计、可编程控制器应用，变频器原理与应用，传感器原理与应用，组态技术，机器人技术等）专业书籍6000册（含电子图书），生均10册以上；有机电和电气类（机床电气设计、可编程控制器应用，变频器原理与应用，传感器原理与应用，组态技术，机器人技术等）专业期（报）刊10种以上；相关职业资格标准（钳工、车工、铣工、维修电工、数控车工、数控铣工、加工中心、数控机床装调维修工、PLC编程程序员，维修电工的初级、中级、高级职业标准）；技术资料（建筑电气设计手册，机床电气设计手册，机电系统设计手册，不同系统（华中、发那科、西门子、DMG）的调试资料、现有实训设备的操作编程手册、安装调试、维修资料）；实训指导书（符合专业需求、专业建设实际的不同实训课程指导书）。</w:t>
      </w:r>
    </w:p>
    <w:p w14:paraId="76958780">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r>
        <w:rPr>
          <w:rFonts w:hint="eastAsia" w:ascii="方正黑体简体" w:hAnsi="楷体" w:eastAsia="方正黑体简体" w:cs="MS Gothic"/>
          <w:color w:val="000000"/>
          <w:sz w:val="24"/>
          <w:lang w:val="en-US" w:eastAsia="zh-CN"/>
        </w:rPr>
        <w:t>（四）教学方法</w:t>
      </w:r>
      <w:bookmarkEnd w:id="29"/>
    </w:p>
    <w:p w14:paraId="40F407FE">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bookmarkStart w:id="30" w:name="_Toc27185"/>
      <w:r>
        <w:rPr>
          <w:rFonts w:hint="eastAsia" w:ascii="方正书宋简体" w:hAnsi="楷体" w:eastAsia="方正书宋简体" w:cs="MS Gothic"/>
          <w:color w:val="000000"/>
          <w:sz w:val="24"/>
          <w:lang w:eastAsia="zh-CN"/>
        </w:rPr>
        <w:t>以学生为本，突出学生主体学习的地位，重视教学互动，充分发挥师生双方的主动性和创造性。以能力本位为基本理念，从教学方法上真正体现以学生为主体、以教师为主导的师生关系结构，通过各种积极有效的参与式教学方法的运用，使学生在学习和行动两个层面上获得不断的发展。</w:t>
      </w:r>
    </w:p>
    <w:p w14:paraId="2303E006">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项目教学法：服务学习是服务与学习的结合，以学生为主体，老师为同行者和指导者，将对外技术服务项目融入课堂教学，让学生在参与对外技术服务过程中有所体悟；鼓励学生应用所学知识、技能，在技术服务中加以验证，从而形成实际的专业能力。</w:t>
      </w:r>
    </w:p>
    <w:p w14:paraId="6C785870">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情景教学：通过影视教学、案例教学、情境教学等方法，为学生创设一定的情境，将专业价值教育贯穿整个教学工作的过程。</w:t>
      </w:r>
    </w:p>
    <w:p w14:paraId="66D5488C">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r>
        <w:rPr>
          <w:rFonts w:hint="eastAsia" w:ascii="方正黑体简体" w:hAnsi="楷体" w:eastAsia="方正黑体简体" w:cs="MS Gothic"/>
          <w:color w:val="000000"/>
          <w:sz w:val="24"/>
          <w:lang w:val="en-US" w:eastAsia="zh-CN"/>
        </w:rPr>
        <w:t>（五）教学评价</w:t>
      </w:r>
      <w:bookmarkEnd w:id="30"/>
    </w:p>
    <w:p w14:paraId="5EBE93B6">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实施以高质量作品评价方式代替课程考核，学生可通过提交专业相关的高质量作品证书（“1+X”工业机器人应用编程职业技能等级证书，“1+X”可编程控制器系统应用编程职业技能等级证书，电工职业技能等级证书，以及技能大赛获奖证书、通用个人综合能力证书）进行课程学分置换。</w:t>
      </w:r>
    </w:p>
    <w:p w14:paraId="414E8887">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在素养平台设置学生课程记录模板，优化专业课程及实习实训任务，将素养目标达成作为学生课程学习目标和专业技能训练目标达成的重要内容。</w:t>
      </w:r>
    </w:p>
    <w:p w14:paraId="3A75557C">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将核心素养设置为项目任务，形成学生素养能力培养矩阵图。依托学生素养成长信息化支撑平台，围绕各项学生素养能力，开展多样化的培养与评价，实现学生关键性成长数据的高效能、伴随式采集，从而实现对学生综合素养进行客观真实评价。</w:t>
      </w:r>
    </w:p>
    <w:p w14:paraId="60E5AA05">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实施多元化教学评价体制改革，突出职业特色，重视职业教育特点，重点培养学生发现问题、分析问题、掌握问题的专业基本能力，实现过程考核与期末考核相结合，实施教师与学生互动教学，并将企业满意度作为衡量人才培养质量的重要指标，在参加企业生产实习工作和顶岗实习过程中，由企业实施对学生的考评。企业、学校、社会共同参与人才培养质量的评价，以便及时发现不足，随时改正，切实提高人才培养质量。具体分如下几个方面：</w:t>
      </w:r>
    </w:p>
    <w:p w14:paraId="5654BA01">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校内考核内容：①课堂教学考勤情况；课堂及课后作业完成情况；期中检测成绩；期未考试成绩；参加校内外技能竞赛情况。以上几项考试情况依据课程内容不同，在课程标准中具体制订，由同头课任课老师共同执行。②日常操行考评，包括遵守校规校纪情况；思想表现；政治表现；参与校内组织活动表现；道德品德表现；宿舍卫生纪行表现等，由学院制订考评细则，辅导员及学生管理干部共同考核。</w:t>
      </w:r>
    </w:p>
    <w:p w14:paraId="5CA191C7">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校外考核内容：校外考核指参加企业生产实习工作和顶岗实习过程中企业对学生工作的满意度考核，具体包括以下几项，日常工作考勤情况；对所属企业的融入程度；工作态度；技能学习等。</w:t>
      </w:r>
    </w:p>
    <w:p w14:paraId="660EED85">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bookmarkStart w:id="31" w:name="_Toc23909"/>
      <w:r>
        <w:rPr>
          <w:rFonts w:hint="eastAsia" w:ascii="方正黑体简体" w:hAnsi="楷体" w:eastAsia="方正黑体简体" w:cs="MS Gothic"/>
          <w:color w:val="000000"/>
          <w:sz w:val="24"/>
          <w:lang w:val="en-US" w:eastAsia="zh-CN"/>
        </w:rPr>
        <w:t>（六）质量管理</w:t>
      </w:r>
      <w:bookmarkEnd w:id="31"/>
    </w:p>
    <w:p w14:paraId="6217BFFE">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（1）通过人才培养方案实施保障</w:t>
      </w:r>
    </w:p>
    <w:p w14:paraId="205396B4">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①核心课程开发工学结合的课程类型，实施工作过程系统化专业课程体系，试行多学期分段制教学安排，最大限度地保证学生完成理论学习和实践操作；</w:t>
      </w:r>
    </w:p>
    <w:p w14:paraId="4E9F8D34">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②其它专业课程尽量为核心课程服务，尽可能不占用专业黄金教学时间；</w:t>
      </w:r>
    </w:p>
    <w:p w14:paraId="6EA9E587">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③选修课程充分体现学生兴趣、自主性、广泛性，并与专业紧密结合，充实学生素质教育，上课时间安排在晚自习进行，不过多占用教学资源；</w:t>
      </w:r>
    </w:p>
    <w:p w14:paraId="44E8ED19">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④在教学环节，应统筹协调学院现有教学资源，达到合理、充分的利用，避免浪费和闲置；</w:t>
      </w:r>
    </w:p>
    <w:p w14:paraId="2BBF2215">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⑤毕业设计可以选择在企业和学校进行，但必须修满人才培养方案规定的全部课程，特殊情况可根据学院规定申请休学或免修。</w:t>
      </w:r>
    </w:p>
    <w:p w14:paraId="19BD8F3F">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（2）通过完善的考核与评价体系保障</w:t>
      </w:r>
    </w:p>
    <w:p w14:paraId="07F2DA4A">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转变教学理念，实施多元化教学评价体制改革，突出职业特色，重视职业教育特点，重点培养学生发现问题、分析问题、掌握问题的专业基本能力，实现过程考核与期末考核相结合，实施教师与学生互动教学，并将企业满意度作为衡量人才培养质量的重要指标，在参加企业生产实习工作和顶岗实习过程中，由企业实施对学生的考评。鼓励学生参加各种职业技能竞赛，以赛促学，以赛促评。企业、学校、社会共同参与人才培养质量的评价，以便及时发现不足，随时改正，切实提高人才培养质量。</w:t>
      </w:r>
    </w:p>
    <w:p w14:paraId="58FAD55E">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考核与评价体系：</w:t>
      </w:r>
    </w:p>
    <w:p w14:paraId="3BE2500D">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①教学情况，考勤、期中教学检查、期末考试成绩、参加校内外技能竞赛情况；</w:t>
      </w:r>
    </w:p>
    <w:p w14:paraId="364C0B93">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②日常操行考评，包括遵守校规校纪情况、思想表现、政治表现、参与校内组织活动表现、道德品德表现、宿舍卫生；</w:t>
      </w:r>
    </w:p>
    <w:p w14:paraId="1E17A0EA">
      <w:pPr>
        <w:adjustRightInd w:val="0"/>
        <w:snapToGrid w:val="0"/>
        <w:spacing w:line="380" w:lineRule="exact"/>
        <w:ind w:firstLine="480" w:firstLineChars="200"/>
        <w:rPr>
          <w:rFonts w:hint="eastAsia" w:ascii="方正黑体简体" w:hAnsi="楷体" w:eastAsia="方正黑体简体" w:cs="MS Gothic"/>
          <w:color w:val="C00000"/>
          <w:sz w:val="24"/>
          <w:lang w:val="en-US" w:eastAsia="zh-CN"/>
        </w:rPr>
      </w:pPr>
      <w:r>
        <w:rPr>
          <w:rFonts w:hint="eastAsia" w:ascii="方正书宋简体" w:hAnsi="楷体" w:eastAsia="方正书宋简体" w:cs="MS Gothic"/>
          <w:color w:val="000000"/>
          <w:sz w:val="24"/>
          <w:lang w:eastAsia="zh-CN"/>
        </w:rPr>
        <w:t>③企业生产实习工作和顶岗实习，日常工作考勤情况、对所属企业的融入程度、工作态度，技能学习等。</w:t>
      </w:r>
    </w:p>
    <w:p w14:paraId="1704C0EA">
      <w:pPr>
        <w:adjustRightInd w:val="0"/>
        <w:snapToGrid w:val="0"/>
        <w:spacing w:before="120" w:beforeLines="50" w:after="120" w:afterLines="50" w:line="380" w:lineRule="exact"/>
        <w:ind w:firstLine="560" w:firstLineChars="200"/>
        <w:rPr>
          <w:rFonts w:hint="eastAsia" w:ascii="方正黑体简体" w:hAnsi="楷体" w:eastAsia="方正黑体简体" w:cs="MS Gothic"/>
          <w:color w:val="000000"/>
          <w:sz w:val="28"/>
          <w:szCs w:val="28"/>
          <w:lang w:val="en-US" w:eastAsia="zh-CN"/>
        </w:rPr>
      </w:pPr>
      <w:r>
        <w:rPr>
          <w:rFonts w:hint="eastAsia" w:ascii="方正黑体简体" w:hAnsi="楷体" w:eastAsia="方正黑体简体" w:cs="MS Gothic"/>
          <w:color w:val="000000"/>
          <w:sz w:val="28"/>
          <w:szCs w:val="28"/>
          <w:lang w:val="en-US" w:eastAsia="zh-CN"/>
        </w:rPr>
        <w:t>十、毕业要求</w:t>
      </w:r>
    </w:p>
    <w:p w14:paraId="1C03DE88">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bookmarkStart w:id="32" w:name="_Toc31109"/>
      <w:r>
        <w:rPr>
          <w:rFonts w:hint="eastAsia" w:ascii="方正书宋简体" w:hAnsi="楷体" w:eastAsia="方正书宋简体" w:cs="MS Gothic"/>
          <w:color w:val="000000"/>
          <w:sz w:val="24"/>
          <w:lang w:val="en-US" w:eastAsia="zh-CN"/>
        </w:rPr>
        <w:t>本专业学生通过规定年限的学习，修满培养方案中规定课程</w:t>
      </w:r>
      <w:r>
        <w:rPr>
          <w:rFonts w:hint="eastAsia" w:ascii="方正书宋简体" w:hAnsi="楷体" w:eastAsia="方正书宋简体" w:cs="MS Gothic"/>
          <w:color w:val="000000"/>
          <w:sz w:val="24"/>
          <w:u w:val="single"/>
          <w:lang w:val="en-US" w:eastAsia="zh-CN"/>
        </w:rPr>
        <w:t>151</w:t>
      </w:r>
      <w:r>
        <w:rPr>
          <w:rFonts w:hint="eastAsia" w:ascii="方正书宋简体" w:hAnsi="楷体" w:eastAsia="方正书宋简体" w:cs="MS Gothic"/>
          <w:color w:val="000000"/>
          <w:sz w:val="24"/>
          <w:lang w:val="en-US" w:eastAsia="zh-CN"/>
        </w:rPr>
        <w:t>学分，其中公共基础课程</w:t>
      </w:r>
      <w:r>
        <w:rPr>
          <w:rFonts w:hint="eastAsia" w:ascii="方正书宋简体" w:hAnsi="楷体" w:eastAsia="方正书宋简体" w:cs="MS Gothic"/>
          <w:color w:val="000000"/>
          <w:sz w:val="24"/>
          <w:u w:val="single"/>
          <w:lang w:val="en-US" w:eastAsia="zh-CN"/>
        </w:rPr>
        <w:t>49.5</w:t>
      </w:r>
      <w:r>
        <w:rPr>
          <w:rFonts w:hint="eastAsia" w:ascii="方正书宋简体" w:hAnsi="楷体" w:eastAsia="方正书宋简体" w:cs="MS Gothic"/>
          <w:color w:val="000000"/>
          <w:sz w:val="24"/>
          <w:lang w:val="en-US" w:eastAsia="zh-CN"/>
        </w:rPr>
        <w:t>学分（公共任选课</w:t>
      </w:r>
      <w:r>
        <w:rPr>
          <w:rFonts w:hint="eastAsia" w:ascii="方正书宋简体" w:hAnsi="楷体" w:eastAsia="方正书宋简体" w:cs="MS Gothic"/>
          <w:color w:val="000000"/>
          <w:sz w:val="24"/>
          <w:u w:val="single"/>
          <w:lang w:val="en-US" w:eastAsia="zh-CN"/>
        </w:rPr>
        <w:t>4</w:t>
      </w:r>
      <w:r>
        <w:rPr>
          <w:rFonts w:hint="eastAsia" w:ascii="方正书宋简体" w:hAnsi="楷体" w:eastAsia="方正书宋简体" w:cs="MS Gothic"/>
          <w:color w:val="000000"/>
          <w:sz w:val="24"/>
          <w:lang w:val="en-US" w:eastAsia="zh-CN"/>
        </w:rPr>
        <w:t>学分），专业（技能）课程</w:t>
      </w:r>
      <w:r>
        <w:rPr>
          <w:rFonts w:hint="eastAsia" w:ascii="方正书宋简体" w:hAnsi="楷体" w:eastAsia="方正书宋简体" w:cs="MS Gothic"/>
          <w:color w:val="000000"/>
          <w:sz w:val="24"/>
          <w:u w:val="single"/>
          <w:lang w:val="en-US" w:eastAsia="zh-CN"/>
        </w:rPr>
        <w:t>101.5</w:t>
      </w:r>
      <w:r>
        <w:rPr>
          <w:rFonts w:hint="eastAsia" w:ascii="方正书宋简体" w:hAnsi="楷体" w:eastAsia="方正书宋简体" w:cs="MS Gothic"/>
          <w:color w:val="000000"/>
          <w:sz w:val="24"/>
          <w:lang w:val="en-US" w:eastAsia="zh-CN"/>
        </w:rPr>
        <w:t>学分，且符合相关要求方准予毕业。</w:t>
      </w:r>
    </w:p>
    <w:p w14:paraId="1E092BF9">
      <w:pPr>
        <w:adjustRightInd w:val="0"/>
        <w:snapToGrid w:val="0"/>
        <w:spacing w:line="380" w:lineRule="exact"/>
        <w:ind w:firstLine="480" w:firstLineChars="200"/>
        <w:rPr>
          <w:rFonts w:hint="eastAsia" w:ascii="方正书宋简体" w:hAnsi="楷体" w:eastAsia="方正书宋简体" w:cs="MS Gothic"/>
          <w:sz w:val="24"/>
        </w:rPr>
      </w:pPr>
      <w:r>
        <w:rPr>
          <w:rFonts w:hint="eastAsia" w:ascii="方正书宋简体" w:hAnsi="楷体" w:eastAsia="方正书宋简体" w:cs="MS Gothic"/>
          <w:sz w:val="24"/>
        </w:rPr>
        <w:t>鼓励学生根据自身情况，考取电工、工业</w:t>
      </w:r>
      <w:r>
        <w:rPr>
          <w:rFonts w:ascii="方正书宋简体" w:hAnsi="楷体" w:eastAsia="方正书宋简体" w:cs="MS Gothic"/>
          <w:sz w:val="24"/>
        </w:rPr>
        <w:t>机器人应用编程</w:t>
      </w:r>
      <w:r>
        <w:rPr>
          <w:rFonts w:hint="eastAsia" w:ascii="方正书宋简体" w:hAnsi="楷体" w:eastAsia="方正书宋简体" w:cs="MS Gothic"/>
          <w:sz w:val="24"/>
        </w:rPr>
        <w:t>、可编程控制器系统应用编程的职业技能等级证书。</w:t>
      </w:r>
    </w:p>
    <w:p w14:paraId="3814EFD4">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p>
    <w:bookmarkEnd w:id="22"/>
    <w:bookmarkEnd w:id="23"/>
    <w:bookmarkEnd w:id="32"/>
    <w:p w14:paraId="670B2201">
      <w:pPr>
        <w:spacing w:line="360" w:lineRule="auto"/>
        <w:ind w:firstLine="480" w:firstLineChars="200"/>
        <w:rPr>
          <w:rFonts w:ascii="宋体" w:hAnsi="宋体"/>
          <w:color w:val="FF0000"/>
          <w:sz w:val="24"/>
          <w:szCs w:val="24"/>
        </w:rPr>
      </w:pPr>
      <w:bookmarkStart w:id="33" w:name="_Toc3424"/>
      <w:bookmarkStart w:id="34" w:name="_Toc31219"/>
    </w:p>
    <w:bookmarkEnd w:id="33"/>
    <w:bookmarkEnd w:id="34"/>
    <w:p w14:paraId="595502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黑体" w:hAnsi="黑体" w:eastAsia="黑体" w:cs="黑体"/>
          <w:sz w:val="24"/>
          <w:szCs w:val="24"/>
          <w:lang w:val="en-US" w:eastAsia="zh-CN"/>
        </w:rPr>
      </w:pPr>
      <w:bookmarkStart w:id="35" w:name="_Toc24189863"/>
      <w:r>
        <w:rPr>
          <w:rFonts w:hint="eastAsia" w:ascii="黑体" w:hAnsi="黑体" w:eastAsia="黑体" w:cs="黑体"/>
          <w:sz w:val="24"/>
          <w:szCs w:val="24"/>
          <w:lang w:val="en-US" w:eastAsia="zh-CN"/>
        </w:rPr>
        <w:br w:type="page"/>
      </w:r>
      <w:r>
        <w:rPr>
          <w:rFonts w:hint="eastAsia" w:ascii="方正黑体简体" w:hAnsi="楷体" w:eastAsia="方正黑体简体" w:cs="MS Gothic"/>
          <w:color w:val="000000"/>
          <w:sz w:val="28"/>
          <w:szCs w:val="28"/>
          <w:lang w:val="en-US" w:eastAsia="zh-CN"/>
        </w:rPr>
        <w:t>十一、专家论证意见</w:t>
      </w:r>
      <w:bookmarkEnd w:id="35"/>
    </w:p>
    <w:tbl>
      <w:tblPr>
        <w:tblStyle w:val="14"/>
        <w:tblW w:w="8825" w:type="dxa"/>
        <w:jc w:val="center"/>
        <w:tblLayout w:type="fixed"/>
        <w:tblCellMar>
          <w:top w:w="0" w:type="dxa"/>
          <w:left w:w="108" w:type="dxa"/>
          <w:bottom w:w="0" w:type="dxa"/>
          <w:right w:w="108" w:type="dxa"/>
        </w:tblCellMar>
      </w:tblPr>
      <w:tblGrid>
        <w:gridCol w:w="1074"/>
        <w:gridCol w:w="960"/>
        <w:gridCol w:w="3261"/>
        <w:gridCol w:w="2033"/>
        <w:gridCol w:w="1497"/>
      </w:tblGrid>
      <w:tr w14:paraId="53177B02">
        <w:tblPrEx>
          <w:tblCellMar>
            <w:top w:w="0" w:type="dxa"/>
            <w:left w:w="108" w:type="dxa"/>
            <w:bottom w:w="0" w:type="dxa"/>
            <w:right w:w="108" w:type="dxa"/>
          </w:tblCellMar>
        </w:tblPrEx>
        <w:trPr>
          <w:trHeight w:val="512" w:hRule="atLeast"/>
          <w:jc w:val="center"/>
        </w:trPr>
        <w:tc>
          <w:tcPr>
            <w:tcW w:w="1074" w:type="dxa"/>
            <w:vMerge w:val="restart"/>
            <w:tcBorders>
              <w:top w:val="single" w:color="000000" w:sz="4" w:space="0"/>
              <w:left w:val="single" w:color="000000" w:sz="4" w:space="0"/>
              <w:right w:val="single" w:color="000000" w:sz="4" w:space="0"/>
            </w:tcBorders>
            <w:noWrap w:val="0"/>
            <w:textDirection w:val="tbRlV"/>
            <w:vAlign w:val="center"/>
          </w:tcPr>
          <w:p w14:paraId="5BCFEA8B">
            <w:pPr>
              <w:widowControl/>
              <w:spacing w:line="500" w:lineRule="exact"/>
              <w:ind w:firstLine="482" w:firstLineChars="200"/>
              <w:jc w:val="center"/>
              <w:rPr>
                <w:rFonts w:ascii="黑体" w:hAnsi="宋体" w:eastAsia="黑体" w:cs="宋体"/>
                <w:b/>
                <w:kern w:val="0"/>
                <w:szCs w:val="21"/>
              </w:rPr>
            </w:pPr>
            <w:r>
              <w:rPr>
                <w:rFonts w:hint="eastAsia" w:ascii="宋体" w:hAnsi="宋体" w:eastAsia="宋体" w:cs="宋体"/>
                <w:b/>
                <w:kern w:val="0"/>
                <w:sz w:val="24"/>
                <w:szCs w:val="24"/>
              </w:rPr>
              <w:t>专 业 建 设 指 导 委 员 会 成 员</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6DE7B372">
            <w:pPr>
              <w:keepNext w:val="0"/>
              <w:keepLines w:val="0"/>
              <w:pageBreakBefore w:val="0"/>
              <w:widowControl/>
              <w:kinsoku/>
              <w:wordWrap/>
              <w:overflowPunct/>
              <w:topLinePunct w:val="0"/>
              <w:autoSpaceDE/>
              <w:autoSpaceDN/>
              <w:bidi w:val="0"/>
              <w:adjustRightInd/>
              <w:snapToGrid/>
              <w:ind w:left="-42" w:leftChars="-20" w:right="-42" w:rightChars="-20"/>
              <w:jc w:val="center"/>
              <w:textAlignment w:val="auto"/>
              <w:rPr>
                <w:rFonts w:ascii="宋体" w:hAnsi="宋体" w:cs="宋体"/>
                <w:b/>
                <w:kern w:val="0"/>
                <w:sz w:val="24"/>
              </w:rPr>
            </w:pPr>
            <w:r>
              <w:rPr>
                <w:rFonts w:hint="eastAsia" w:ascii="宋体" w:hAnsi="宋体" w:cs="宋体"/>
                <w:b/>
                <w:kern w:val="0"/>
                <w:sz w:val="24"/>
              </w:rPr>
              <w:t>姓  名</w:t>
            </w:r>
          </w:p>
        </w:tc>
        <w:tc>
          <w:tcPr>
            <w:tcW w:w="3261" w:type="dxa"/>
            <w:tcBorders>
              <w:top w:val="single" w:color="000000" w:sz="4" w:space="0"/>
              <w:left w:val="nil"/>
              <w:bottom w:val="single" w:color="000000" w:sz="4" w:space="0"/>
              <w:right w:val="single" w:color="000000" w:sz="4" w:space="0"/>
            </w:tcBorders>
            <w:noWrap w:val="0"/>
            <w:vAlign w:val="center"/>
          </w:tcPr>
          <w:p w14:paraId="645F7E90">
            <w:pPr>
              <w:keepNext w:val="0"/>
              <w:keepLines w:val="0"/>
              <w:pageBreakBefore w:val="0"/>
              <w:widowControl/>
              <w:kinsoku/>
              <w:wordWrap/>
              <w:overflowPunct/>
              <w:topLinePunct w:val="0"/>
              <w:autoSpaceDE/>
              <w:autoSpaceDN/>
              <w:bidi w:val="0"/>
              <w:adjustRightInd/>
              <w:snapToGrid/>
              <w:ind w:left="-42" w:leftChars="-20" w:right="-42" w:rightChars="-20"/>
              <w:jc w:val="center"/>
              <w:textAlignment w:val="auto"/>
              <w:rPr>
                <w:rFonts w:ascii="宋体" w:hAnsi="宋体" w:cs="宋体"/>
                <w:b/>
                <w:kern w:val="0"/>
                <w:sz w:val="24"/>
              </w:rPr>
            </w:pPr>
            <w:r>
              <w:rPr>
                <w:rFonts w:hint="eastAsia" w:ascii="宋体" w:hAnsi="宋体" w:cs="宋体"/>
                <w:b/>
                <w:kern w:val="0"/>
                <w:sz w:val="24"/>
              </w:rPr>
              <w:t>单  位</w:t>
            </w:r>
          </w:p>
        </w:tc>
        <w:tc>
          <w:tcPr>
            <w:tcW w:w="2033" w:type="dxa"/>
            <w:tcBorders>
              <w:top w:val="single" w:color="000000" w:sz="4" w:space="0"/>
              <w:left w:val="nil"/>
              <w:bottom w:val="single" w:color="000000" w:sz="4" w:space="0"/>
              <w:right w:val="single" w:color="000000" w:sz="4" w:space="0"/>
            </w:tcBorders>
            <w:noWrap w:val="0"/>
            <w:vAlign w:val="center"/>
          </w:tcPr>
          <w:p w14:paraId="7BC17084">
            <w:pPr>
              <w:keepNext w:val="0"/>
              <w:keepLines w:val="0"/>
              <w:pageBreakBefore w:val="0"/>
              <w:widowControl/>
              <w:kinsoku/>
              <w:wordWrap/>
              <w:overflowPunct/>
              <w:topLinePunct w:val="0"/>
              <w:autoSpaceDE/>
              <w:autoSpaceDN/>
              <w:bidi w:val="0"/>
              <w:adjustRightInd/>
              <w:snapToGrid/>
              <w:ind w:left="-42" w:leftChars="-20" w:right="-42" w:rightChars="-20"/>
              <w:jc w:val="center"/>
              <w:textAlignment w:val="auto"/>
              <w:rPr>
                <w:rFonts w:ascii="宋体" w:hAnsi="宋体" w:cs="宋体"/>
                <w:b/>
                <w:kern w:val="0"/>
                <w:sz w:val="24"/>
              </w:rPr>
            </w:pPr>
            <w:r>
              <w:rPr>
                <w:rFonts w:hint="eastAsia" w:ascii="宋体" w:hAnsi="宋体" w:cs="宋体"/>
                <w:b/>
                <w:kern w:val="0"/>
                <w:sz w:val="24"/>
              </w:rPr>
              <w:t>职务/职称</w:t>
            </w:r>
          </w:p>
        </w:tc>
        <w:tc>
          <w:tcPr>
            <w:tcW w:w="1497" w:type="dxa"/>
            <w:tcBorders>
              <w:top w:val="single" w:color="000000" w:sz="4" w:space="0"/>
              <w:left w:val="nil"/>
              <w:bottom w:val="single" w:color="000000" w:sz="4" w:space="0"/>
              <w:right w:val="single" w:color="000000" w:sz="4" w:space="0"/>
            </w:tcBorders>
            <w:noWrap w:val="0"/>
            <w:vAlign w:val="center"/>
          </w:tcPr>
          <w:p w14:paraId="58586E30">
            <w:pPr>
              <w:widowControl/>
              <w:jc w:val="center"/>
              <w:rPr>
                <w:rFonts w:ascii="宋体" w:hAnsi="宋体" w:cs="宋体"/>
                <w:b/>
                <w:kern w:val="0"/>
                <w:sz w:val="24"/>
              </w:rPr>
            </w:pPr>
            <w:r>
              <w:rPr>
                <w:rFonts w:hint="eastAsia" w:ascii="宋体" w:hAnsi="宋体" w:cs="宋体"/>
                <w:b/>
                <w:kern w:val="0"/>
                <w:sz w:val="24"/>
              </w:rPr>
              <w:t>签  名</w:t>
            </w:r>
          </w:p>
        </w:tc>
      </w:tr>
      <w:tr w14:paraId="35539017">
        <w:tblPrEx>
          <w:tblCellMar>
            <w:top w:w="0" w:type="dxa"/>
            <w:left w:w="108" w:type="dxa"/>
            <w:bottom w:w="0" w:type="dxa"/>
            <w:right w:w="108" w:type="dxa"/>
          </w:tblCellMar>
        </w:tblPrEx>
        <w:trPr>
          <w:trHeight w:val="737" w:hRule="atLeast"/>
          <w:jc w:val="center"/>
        </w:trPr>
        <w:tc>
          <w:tcPr>
            <w:tcW w:w="1074" w:type="dxa"/>
            <w:vMerge w:val="continue"/>
            <w:tcBorders>
              <w:left w:val="single" w:color="000000" w:sz="4" w:space="0"/>
              <w:right w:val="single" w:color="000000" w:sz="4" w:space="0"/>
            </w:tcBorders>
            <w:noWrap w:val="0"/>
            <w:textDirection w:val="tbRlV"/>
            <w:vAlign w:val="center"/>
          </w:tcPr>
          <w:p w14:paraId="15764ED1">
            <w:pPr>
              <w:widowControl/>
              <w:spacing w:line="500" w:lineRule="exact"/>
              <w:ind w:firstLine="482" w:firstLineChars="200"/>
              <w:jc w:val="center"/>
              <w:rPr>
                <w:rFonts w:hint="eastAsia" w:ascii="宋体" w:hAnsi="宋体" w:eastAsia="宋体" w:cs="宋体"/>
                <w:b/>
                <w:kern w:val="0"/>
                <w:sz w:val="24"/>
                <w:szCs w:val="24"/>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A5F2E27">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hint="eastAsia" w:ascii="黑体" w:hAnsi="宋体" w:eastAsia="黑体" w:cs="宋体"/>
                <w:b w:val="0"/>
                <w:bCs/>
                <w:kern w:val="0"/>
                <w:szCs w:val="21"/>
                <w:lang w:val="en-US" w:eastAsia="en-US"/>
              </w:rPr>
            </w:pPr>
            <w:r>
              <w:rPr>
                <w:rFonts w:hint="eastAsia" w:ascii="黑体" w:hAnsi="宋体" w:eastAsia="黑体" w:cs="宋体"/>
                <w:b w:val="0"/>
                <w:bCs/>
                <w:kern w:val="0"/>
                <w:szCs w:val="21"/>
              </w:rPr>
              <w:t>秦国防</w:t>
            </w:r>
          </w:p>
        </w:tc>
        <w:tc>
          <w:tcPr>
            <w:tcW w:w="3261" w:type="dxa"/>
            <w:tcBorders>
              <w:top w:val="single" w:color="000000" w:sz="4" w:space="0"/>
              <w:left w:val="nil"/>
              <w:bottom w:val="single" w:color="000000" w:sz="4" w:space="0"/>
              <w:right w:val="single" w:color="000000" w:sz="4" w:space="0"/>
            </w:tcBorders>
            <w:shd w:val="clear" w:color="auto" w:fill="auto"/>
            <w:noWrap w:val="0"/>
            <w:vAlign w:val="center"/>
          </w:tcPr>
          <w:p w14:paraId="246A86B8">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hint="eastAsia" w:ascii="黑体" w:hAnsi="宋体" w:eastAsia="黑体" w:cs="宋体"/>
                <w:b w:val="0"/>
                <w:bCs/>
                <w:kern w:val="0"/>
                <w:szCs w:val="21"/>
                <w:lang w:val="en-US" w:eastAsia="en-US"/>
              </w:rPr>
            </w:pPr>
            <w:r>
              <w:rPr>
                <w:rFonts w:hint="eastAsia" w:ascii="黑体" w:hAnsi="宋体" w:eastAsia="黑体" w:cs="宋体"/>
                <w:b w:val="0"/>
                <w:bCs/>
                <w:kern w:val="0"/>
                <w:szCs w:val="21"/>
              </w:rPr>
              <w:t>济源职业技术学院</w:t>
            </w:r>
          </w:p>
        </w:tc>
        <w:tc>
          <w:tcPr>
            <w:tcW w:w="2033" w:type="dxa"/>
            <w:tcBorders>
              <w:top w:val="single" w:color="000000" w:sz="4" w:space="0"/>
              <w:left w:val="nil"/>
              <w:bottom w:val="single" w:color="000000" w:sz="4" w:space="0"/>
              <w:right w:val="single" w:color="000000" w:sz="4" w:space="0"/>
            </w:tcBorders>
            <w:shd w:val="clear" w:color="auto" w:fill="auto"/>
            <w:noWrap w:val="0"/>
            <w:vAlign w:val="center"/>
          </w:tcPr>
          <w:p w14:paraId="309C6F5A">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hint="eastAsia" w:ascii="黑体" w:hAnsi="宋体" w:eastAsia="黑体" w:cs="宋体"/>
                <w:b w:val="0"/>
                <w:bCs/>
                <w:kern w:val="0"/>
                <w:szCs w:val="21"/>
                <w:lang w:val="en-US" w:eastAsia="en-US"/>
              </w:rPr>
            </w:pPr>
            <w:r>
              <w:rPr>
                <w:rFonts w:hint="eastAsia" w:ascii="黑体" w:hAnsi="宋体" w:eastAsia="黑体" w:cs="宋体"/>
                <w:b w:val="0"/>
                <w:bCs/>
                <w:kern w:val="0"/>
                <w:szCs w:val="21"/>
              </w:rPr>
              <w:t>二级学院院长/教授</w:t>
            </w:r>
          </w:p>
        </w:tc>
        <w:tc>
          <w:tcPr>
            <w:tcW w:w="1497" w:type="dxa"/>
            <w:tcBorders>
              <w:top w:val="single" w:color="000000" w:sz="4" w:space="0"/>
              <w:left w:val="nil"/>
              <w:bottom w:val="single" w:color="000000" w:sz="4" w:space="0"/>
              <w:right w:val="single" w:color="000000" w:sz="4" w:space="0"/>
            </w:tcBorders>
            <w:noWrap w:val="0"/>
            <w:vAlign w:val="center"/>
          </w:tcPr>
          <w:p w14:paraId="21F9194A">
            <w:pPr>
              <w:widowControl/>
              <w:jc w:val="center"/>
              <w:rPr>
                <w:rFonts w:hint="eastAsia" w:ascii="宋体" w:hAnsi="宋体" w:cs="宋体"/>
                <w:b/>
                <w:kern w:val="0"/>
                <w:sz w:val="24"/>
              </w:rPr>
            </w:pPr>
          </w:p>
        </w:tc>
      </w:tr>
      <w:tr w14:paraId="38B34F99">
        <w:tblPrEx>
          <w:tblCellMar>
            <w:top w:w="0" w:type="dxa"/>
            <w:left w:w="108" w:type="dxa"/>
            <w:bottom w:w="0" w:type="dxa"/>
            <w:right w:w="108" w:type="dxa"/>
          </w:tblCellMar>
        </w:tblPrEx>
        <w:trPr>
          <w:trHeight w:val="737" w:hRule="atLeast"/>
          <w:jc w:val="center"/>
        </w:trPr>
        <w:tc>
          <w:tcPr>
            <w:tcW w:w="1074" w:type="dxa"/>
            <w:vMerge w:val="continue"/>
            <w:tcBorders>
              <w:left w:val="single" w:color="000000" w:sz="4" w:space="0"/>
              <w:right w:val="single" w:color="000000" w:sz="4" w:space="0"/>
            </w:tcBorders>
            <w:noWrap w:val="0"/>
            <w:vAlign w:val="top"/>
          </w:tcPr>
          <w:p w14:paraId="1A0317BF">
            <w:pPr>
              <w:widowControl/>
              <w:spacing w:line="500" w:lineRule="exact"/>
              <w:jc w:val="center"/>
              <w:rPr>
                <w:rFonts w:ascii="黑体" w:hAnsi="宋体" w:eastAsia="黑体" w:cs="宋体"/>
                <w:b/>
                <w:kern w:val="0"/>
                <w:szCs w:val="21"/>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990E5ED">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ascii="黑体" w:hAnsi="宋体" w:eastAsia="黑体" w:cs="宋体"/>
                <w:b w:val="0"/>
                <w:bCs/>
                <w:kern w:val="0"/>
                <w:szCs w:val="21"/>
                <w:lang w:val="en-US" w:eastAsia="en-US"/>
              </w:rPr>
            </w:pPr>
            <w:r>
              <w:rPr>
                <w:rFonts w:hint="eastAsia" w:ascii="黑体" w:hAnsi="宋体" w:eastAsia="黑体" w:cs="宋体"/>
                <w:b w:val="0"/>
                <w:bCs/>
                <w:kern w:val="0"/>
                <w:szCs w:val="21"/>
              </w:rPr>
              <w:t>彭易阳</w:t>
            </w:r>
          </w:p>
        </w:tc>
        <w:tc>
          <w:tcPr>
            <w:tcW w:w="3261" w:type="dxa"/>
            <w:tcBorders>
              <w:top w:val="single" w:color="000000" w:sz="4" w:space="0"/>
              <w:left w:val="nil"/>
              <w:bottom w:val="single" w:color="000000" w:sz="4" w:space="0"/>
              <w:right w:val="single" w:color="000000" w:sz="4" w:space="0"/>
            </w:tcBorders>
            <w:shd w:val="clear" w:color="auto" w:fill="auto"/>
            <w:noWrap w:val="0"/>
            <w:vAlign w:val="center"/>
          </w:tcPr>
          <w:p w14:paraId="1F0F7BB3">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ascii="黑体" w:hAnsi="宋体" w:eastAsia="黑体" w:cs="宋体"/>
                <w:b w:val="0"/>
                <w:bCs/>
                <w:kern w:val="0"/>
                <w:szCs w:val="21"/>
                <w:lang w:val="en-US" w:eastAsia="en-US"/>
              </w:rPr>
            </w:pPr>
            <w:r>
              <w:rPr>
                <w:rFonts w:hint="eastAsia" w:ascii="黑体" w:hAnsi="宋体" w:eastAsia="黑体" w:cs="宋体"/>
                <w:b w:val="0"/>
                <w:bCs/>
                <w:kern w:val="0"/>
                <w:szCs w:val="21"/>
              </w:rPr>
              <w:t>富泰华精密电子（济源）有限公司</w:t>
            </w:r>
          </w:p>
        </w:tc>
        <w:tc>
          <w:tcPr>
            <w:tcW w:w="2033" w:type="dxa"/>
            <w:tcBorders>
              <w:top w:val="single" w:color="000000" w:sz="4" w:space="0"/>
              <w:left w:val="nil"/>
              <w:bottom w:val="single" w:color="000000" w:sz="4" w:space="0"/>
              <w:right w:val="single" w:color="000000" w:sz="4" w:space="0"/>
            </w:tcBorders>
            <w:shd w:val="clear" w:color="auto" w:fill="auto"/>
            <w:noWrap w:val="0"/>
            <w:vAlign w:val="center"/>
          </w:tcPr>
          <w:p w14:paraId="1347A2AE">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ascii="黑体" w:hAnsi="宋体" w:eastAsia="黑体" w:cs="宋体"/>
                <w:b w:val="0"/>
                <w:bCs/>
                <w:kern w:val="0"/>
                <w:szCs w:val="21"/>
                <w:lang w:val="en-US" w:eastAsia="en-US"/>
              </w:rPr>
            </w:pPr>
            <w:r>
              <w:rPr>
                <w:rFonts w:hint="eastAsia" w:ascii="黑体" w:hAnsi="宋体" w:eastAsia="黑体" w:cs="宋体"/>
                <w:b w:val="0"/>
                <w:bCs/>
                <w:kern w:val="0"/>
                <w:szCs w:val="21"/>
              </w:rPr>
              <w:t>经理/高级工程师</w:t>
            </w:r>
          </w:p>
        </w:tc>
        <w:tc>
          <w:tcPr>
            <w:tcW w:w="1497" w:type="dxa"/>
            <w:tcBorders>
              <w:top w:val="single" w:color="000000" w:sz="4" w:space="0"/>
              <w:left w:val="nil"/>
              <w:bottom w:val="single" w:color="000000" w:sz="4" w:space="0"/>
              <w:right w:val="single" w:color="000000" w:sz="4" w:space="0"/>
            </w:tcBorders>
            <w:noWrap w:val="0"/>
            <w:vAlign w:val="center"/>
          </w:tcPr>
          <w:p w14:paraId="5B31404A">
            <w:pPr>
              <w:widowControl/>
              <w:spacing w:line="500" w:lineRule="exact"/>
              <w:jc w:val="center"/>
              <w:rPr>
                <w:rFonts w:ascii="黑体" w:hAnsi="宋体" w:eastAsia="黑体" w:cs="宋体"/>
                <w:b/>
                <w:kern w:val="0"/>
                <w:szCs w:val="21"/>
              </w:rPr>
            </w:pPr>
          </w:p>
        </w:tc>
      </w:tr>
      <w:tr w14:paraId="074721F3">
        <w:tblPrEx>
          <w:tblCellMar>
            <w:top w:w="0" w:type="dxa"/>
            <w:left w:w="108" w:type="dxa"/>
            <w:bottom w:w="0" w:type="dxa"/>
            <w:right w:w="108" w:type="dxa"/>
          </w:tblCellMar>
        </w:tblPrEx>
        <w:trPr>
          <w:trHeight w:val="737" w:hRule="atLeast"/>
          <w:jc w:val="center"/>
        </w:trPr>
        <w:tc>
          <w:tcPr>
            <w:tcW w:w="1074" w:type="dxa"/>
            <w:vMerge w:val="continue"/>
            <w:tcBorders>
              <w:left w:val="single" w:color="000000" w:sz="4" w:space="0"/>
              <w:right w:val="single" w:color="000000" w:sz="4" w:space="0"/>
            </w:tcBorders>
            <w:noWrap w:val="0"/>
            <w:vAlign w:val="top"/>
          </w:tcPr>
          <w:p w14:paraId="059E6303">
            <w:pPr>
              <w:widowControl/>
              <w:spacing w:line="500" w:lineRule="exact"/>
              <w:jc w:val="center"/>
              <w:rPr>
                <w:rFonts w:ascii="黑体" w:hAnsi="宋体" w:eastAsia="黑体" w:cs="宋体"/>
                <w:b/>
                <w:kern w:val="0"/>
                <w:szCs w:val="21"/>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140D1DC">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ascii="黑体" w:hAnsi="宋体" w:eastAsia="黑体" w:cs="宋体"/>
                <w:b w:val="0"/>
                <w:bCs/>
                <w:kern w:val="0"/>
                <w:szCs w:val="21"/>
                <w:lang w:val="en-US" w:eastAsia="en-US"/>
              </w:rPr>
            </w:pPr>
            <w:r>
              <w:rPr>
                <w:rFonts w:hint="eastAsia" w:ascii="黑体" w:hAnsi="宋体" w:eastAsia="黑体" w:cs="宋体"/>
                <w:b w:val="0"/>
                <w:bCs/>
                <w:kern w:val="0"/>
                <w:szCs w:val="21"/>
              </w:rPr>
              <w:t>武卫兵</w:t>
            </w:r>
          </w:p>
        </w:tc>
        <w:tc>
          <w:tcPr>
            <w:tcW w:w="3261" w:type="dxa"/>
            <w:tcBorders>
              <w:top w:val="single" w:color="000000" w:sz="4" w:space="0"/>
              <w:left w:val="nil"/>
              <w:bottom w:val="single" w:color="000000" w:sz="4" w:space="0"/>
              <w:right w:val="single" w:color="000000" w:sz="4" w:space="0"/>
            </w:tcBorders>
            <w:shd w:val="clear" w:color="auto" w:fill="auto"/>
            <w:noWrap w:val="0"/>
            <w:vAlign w:val="center"/>
          </w:tcPr>
          <w:p w14:paraId="5E12E337">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ascii="黑体" w:hAnsi="宋体" w:eastAsia="黑体" w:cs="宋体"/>
                <w:b w:val="0"/>
                <w:bCs/>
                <w:kern w:val="0"/>
                <w:szCs w:val="21"/>
                <w:lang w:val="en-US" w:eastAsia="en-US"/>
              </w:rPr>
            </w:pPr>
            <w:r>
              <w:rPr>
                <w:rFonts w:hint="eastAsia" w:ascii="黑体" w:hAnsi="宋体" w:eastAsia="黑体" w:cs="宋体"/>
                <w:b w:val="0"/>
                <w:bCs/>
                <w:kern w:val="0"/>
                <w:szCs w:val="21"/>
              </w:rPr>
              <w:t>富晋精密工业有限公司</w:t>
            </w:r>
          </w:p>
        </w:tc>
        <w:tc>
          <w:tcPr>
            <w:tcW w:w="2033" w:type="dxa"/>
            <w:tcBorders>
              <w:top w:val="single" w:color="000000" w:sz="4" w:space="0"/>
              <w:left w:val="nil"/>
              <w:bottom w:val="single" w:color="000000" w:sz="4" w:space="0"/>
              <w:right w:val="single" w:color="000000" w:sz="4" w:space="0"/>
            </w:tcBorders>
            <w:shd w:val="clear" w:color="auto" w:fill="auto"/>
            <w:noWrap w:val="0"/>
            <w:vAlign w:val="center"/>
          </w:tcPr>
          <w:p w14:paraId="36AD7199">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ascii="黑体" w:hAnsi="宋体" w:eastAsia="黑体" w:cs="宋体"/>
                <w:b w:val="0"/>
                <w:bCs/>
                <w:kern w:val="0"/>
                <w:szCs w:val="21"/>
                <w:lang w:val="en-US" w:eastAsia="en-US"/>
              </w:rPr>
            </w:pPr>
            <w:r>
              <w:rPr>
                <w:rFonts w:hint="eastAsia" w:ascii="黑体" w:hAnsi="宋体" w:eastAsia="黑体" w:cs="宋体"/>
                <w:b w:val="0"/>
                <w:bCs/>
                <w:kern w:val="0"/>
                <w:szCs w:val="21"/>
              </w:rPr>
              <w:t>副理/高级工程师</w:t>
            </w:r>
          </w:p>
        </w:tc>
        <w:tc>
          <w:tcPr>
            <w:tcW w:w="1497" w:type="dxa"/>
            <w:tcBorders>
              <w:top w:val="single" w:color="000000" w:sz="4" w:space="0"/>
              <w:left w:val="nil"/>
              <w:bottom w:val="single" w:color="000000" w:sz="4" w:space="0"/>
              <w:right w:val="single" w:color="000000" w:sz="4" w:space="0"/>
            </w:tcBorders>
            <w:noWrap w:val="0"/>
            <w:vAlign w:val="center"/>
          </w:tcPr>
          <w:p w14:paraId="63FF4A6E">
            <w:pPr>
              <w:widowControl/>
              <w:spacing w:line="500" w:lineRule="exact"/>
              <w:jc w:val="center"/>
              <w:rPr>
                <w:rFonts w:ascii="黑体" w:hAnsi="宋体" w:eastAsia="黑体" w:cs="宋体"/>
                <w:b/>
                <w:kern w:val="0"/>
                <w:szCs w:val="21"/>
              </w:rPr>
            </w:pPr>
          </w:p>
        </w:tc>
      </w:tr>
      <w:tr w14:paraId="739DBCEC">
        <w:tblPrEx>
          <w:tblCellMar>
            <w:top w:w="0" w:type="dxa"/>
            <w:left w:w="108" w:type="dxa"/>
            <w:bottom w:w="0" w:type="dxa"/>
            <w:right w:w="108" w:type="dxa"/>
          </w:tblCellMar>
        </w:tblPrEx>
        <w:trPr>
          <w:trHeight w:val="737" w:hRule="atLeast"/>
          <w:jc w:val="center"/>
        </w:trPr>
        <w:tc>
          <w:tcPr>
            <w:tcW w:w="1074" w:type="dxa"/>
            <w:vMerge w:val="continue"/>
            <w:tcBorders>
              <w:left w:val="single" w:color="000000" w:sz="4" w:space="0"/>
              <w:right w:val="single" w:color="000000" w:sz="4" w:space="0"/>
            </w:tcBorders>
            <w:noWrap w:val="0"/>
            <w:vAlign w:val="top"/>
          </w:tcPr>
          <w:p w14:paraId="66372856">
            <w:pPr>
              <w:widowControl/>
              <w:spacing w:line="500" w:lineRule="exact"/>
              <w:jc w:val="center"/>
              <w:rPr>
                <w:rFonts w:ascii="黑体" w:hAnsi="宋体" w:eastAsia="黑体" w:cs="宋体"/>
                <w:b/>
                <w:kern w:val="0"/>
                <w:szCs w:val="21"/>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DBC711A">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ascii="黑体" w:hAnsi="宋体" w:eastAsia="黑体" w:cs="宋体"/>
                <w:b w:val="0"/>
                <w:bCs/>
                <w:kern w:val="0"/>
                <w:szCs w:val="21"/>
                <w:lang w:val="en-US" w:eastAsia="en-US"/>
              </w:rPr>
            </w:pPr>
            <w:r>
              <w:rPr>
                <w:rFonts w:hint="eastAsia" w:ascii="黑体" w:hAnsi="宋体" w:eastAsia="黑体" w:cs="宋体"/>
                <w:b w:val="0"/>
                <w:bCs/>
                <w:kern w:val="0"/>
                <w:szCs w:val="21"/>
              </w:rPr>
              <w:t>张明柱</w:t>
            </w:r>
          </w:p>
        </w:tc>
        <w:tc>
          <w:tcPr>
            <w:tcW w:w="3261" w:type="dxa"/>
            <w:tcBorders>
              <w:top w:val="single" w:color="000000" w:sz="4" w:space="0"/>
              <w:left w:val="nil"/>
              <w:bottom w:val="single" w:color="000000" w:sz="4" w:space="0"/>
              <w:right w:val="single" w:color="000000" w:sz="4" w:space="0"/>
            </w:tcBorders>
            <w:shd w:val="clear" w:color="auto" w:fill="auto"/>
            <w:noWrap w:val="0"/>
            <w:vAlign w:val="center"/>
          </w:tcPr>
          <w:p w14:paraId="25B7126D">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ascii="黑体" w:hAnsi="宋体" w:eastAsia="黑体" w:cs="宋体"/>
                <w:b w:val="0"/>
                <w:bCs/>
                <w:kern w:val="0"/>
                <w:szCs w:val="21"/>
                <w:lang w:val="en-US" w:eastAsia="en-US"/>
              </w:rPr>
            </w:pPr>
            <w:r>
              <w:rPr>
                <w:rFonts w:hint="eastAsia" w:ascii="黑体" w:hAnsi="宋体" w:eastAsia="黑体" w:cs="宋体"/>
                <w:b w:val="0"/>
                <w:bCs/>
                <w:kern w:val="0"/>
                <w:szCs w:val="21"/>
              </w:rPr>
              <w:t>河南科技大学</w:t>
            </w:r>
          </w:p>
        </w:tc>
        <w:tc>
          <w:tcPr>
            <w:tcW w:w="2033" w:type="dxa"/>
            <w:tcBorders>
              <w:top w:val="single" w:color="000000" w:sz="4" w:space="0"/>
              <w:left w:val="nil"/>
              <w:bottom w:val="single" w:color="000000" w:sz="4" w:space="0"/>
              <w:right w:val="single" w:color="000000" w:sz="4" w:space="0"/>
            </w:tcBorders>
            <w:shd w:val="clear" w:color="auto" w:fill="auto"/>
            <w:noWrap w:val="0"/>
            <w:vAlign w:val="center"/>
          </w:tcPr>
          <w:p w14:paraId="3C997440">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ascii="黑体" w:hAnsi="宋体" w:eastAsia="黑体" w:cs="宋体"/>
                <w:b w:val="0"/>
                <w:bCs/>
                <w:kern w:val="0"/>
                <w:szCs w:val="21"/>
                <w:lang w:val="en-US" w:eastAsia="en-US"/>
              </w:rPr>
            </w:pPr>
            <w:r>
              <w:rPr>
                <w:rFonts w:hint="eastAsia" w:ascii="黑体" w:hAnsi="宋体" w:eastAsia="黑体" w:cs="宋体"/>
                <w:b w:val="0"/>
                <w:bCs/>
                <w:kern w:val="0"/>
                <w:szCs w:val="21"/>
              </w:rPr>
              <w:t>教授</w:t>
            </w:r>
          </w:p>
        </w:tc>
        <w:tc>
          <w:tcPr>
            <w:tcW w:w="1497" w:type="dxa"/>
            <w:tcBorders>
              <w:top w:val="single" w:color="000000" w:sz="4" w:space="0"/>
              <w:left w:val="nil"/>
              <w:bottom w:val="single" w:color="000000" w:sz="4" w:space="0"/>
              <w:right w:val="single" w:color="000000" w:sz="4" w:space="0"/>
            </w:tcBorders>
            <w:noWrap w:val="0"/>
            <w:vAlign w:val="center"/>
          </w:tcPr>
          <w:p w14:paraId="71690B86">
            <w:pPr>
              <w:widowControl/>
              <w:spacing w:line="500" w:lineRule="exact"/>
              <w:jc w:val="center"/>
              <w:rPr>
                <w:rFonts w:ascii="黑体" w:hAnsi="宋体" w:eastAsia="黑体" w:cs="宋体"/>
                <w:b/>
                <w:kern w:val="0"/>
                <w:szCs w:val="21"/>
              </w:rPr>
            </w:pPr>
          </w:p>
        </w:tc>
      </w:tr>
      <w:tr w14:paraId="401CB293">
        <w:tblPrEx>
          <w:tblCellMar>
            <w:top w:w="0" w:type="dxa"/>
            <w:left w:w="108" w:type="dxa"/>
            <w:bottom w:w="0" w:type="dxa"/>
            <w:right w:w="108" w:type="dxa"/>
          </w:tblCellMar>
        </w:tblPrEx>
        <w:trPr>
          <w:trHeight w:val="737" w:hRule="atLeast"/>
          <w:jc w:val="center"/>
        </w:trPr>
        <w:tc>
          <w:tcPr>
            <w:tcW w:w="1074" w:type="dxa"/>
            <w:vMerge w:val="continue"/>
            <w:tcBorders>
              <w:left w:val="single" w:color="000000" w:sz="4" w:space="0"/>
              <w:right w:val="single" w:color="000000" w:sz="4" w:space="0"/>
            </w:tcBorders>
            <w:noWrap w:val="0"/>
            <w:vAlign w:val="top"/>
          </w:tcPr>
          <w:p w14:paraId="66B92B69">
            <w:pPr>
              <w:widowControl/>
              <w:spacing w:line="500" w:lineRule="exact"/>
              <w:jc w:val="center"/>
              <w:rPr>
                <w:rFonts w:ascii="黑体" w:hAnsi="宋体" w:eastAsia="黑体" w:cs="宋体"/>
                <w:b/>
                <w:kern w:val="0"/>
                <w:szCs w:val="21"/>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63AC47F">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hint="default" w:ascii="黑体" w:hAnsi="宋体" w:eastAsia="黑体" w:cs="宋体"/>
                <w:b w:val="0"/>
                <w:bCs/>
                <w:kern w:val="0"/>
                <w:szCs w:val="21"/>
                <w:lang w:val="en-US" w:eastAsia="zh-CN"/>
              </w:rPr>
            </w:pPr>
            <w:r>
              <w:rPr>
                <w:rFonts w:hint="eastAsia" w:ascii="黑体" w:hAnsi="宋体" w:eastAsia="黑体" w:cs="宋体"/>
                <w:b w:val="0"/>
                <w:bCs/>
                <w:kern w:val="0"/>
                <w:szCs w:val="21"/>
                <w:lang w:val="en-US" w:eastAsia="zh-CN"/>
              </w:rPr>
              <w:t>高清冉</w:t>
            </w:r>
          </w:p>
        </w:tc>
        <w:tc>
          <w:tcPr>
            <w:tcW w:w="3261" w:type="dxa"/>
            <w:tcBorders>
              <w:top w:val="single" w:color="000000" w:sz="4" w:space="0"/>
              <w:left w:val="nil"/>
              <w:bottom w:val="single" w:color="000000" w:sz="4" w:space="0"/>
              <w:right w:val="single" w:color="000000" w:sz="4" w:space="0"/>
            </w:tcBorders>
            <w:shd w:val="clear" w:color="auto" w:fill="auto"/>
            <w:noWrap w:val="0"/>
            <w:vAlign w:val="center"/>
          </w:tcPr>
          <w:p w14:paraId="1D983266">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ascii="黑体" w:hAnsi="宋体" w:eastAsia="黑体" w:cs="宋体"/>
                <w:b w:val="0"/>
                <w:bCs/>
                <w:kern w:val="0"/>
                <w:szCs w:val="21"/>
                <w:lang w:val="en-US" w:eastAsia="en-US"/>
              </w:rPr>
            </w:pPr>
            <w:r>
              <w:rPr>
                <w:rFonts w:hint="eastAsia" w:ascii="黑体" w:hAnsi="宋体" w:eastAsia="黑体" w:cs="宋体"/>
                <w:b w:val="0"/>
                <w:bCs/>
                <w:kern w:val="0"/>
                <w:szCs w:val="21"/>
              </w:rPr>
              <w:t>济源职业技术学院</w:t>
            </w:r>
          </w:p>
        </w:tc>
        <w:tc>
          <w:tcPr>
            <w:tcW w:w="2033" w:type="dxa"/>
            <w:tcBorders>
              <w:top w:val="single" w:color="000000" w:sz="4" w:space="0"/>
              <w:left w:val="nil"/>
              <w:bottom w:val="single" w:color="000000" w:sz="4" w:space="0"/>
              <w:right w:val="single" w:color="000000" w:sz="4" w:space="0"/>
            </w:tcBorders>
            <w:shd w:val="clear" w:color="auto" w:fill="auto"/>
            <w:noWrap w:val="0"/>
            <w:vAlign w:val="center"/>
          </w:tcPr>
          <w:p w14:paraId="700498EE">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ascii="黑体" w:hAnsi="宋体" w:eastAsia="黑体" w:cs="宋体"/>
                <w:b w:val="0"/>
                <w:bCs/>
                <w:kern w:val="0"/>
                <w:szCs w:val="21"/>
                <w:lang w:val="en-US" w:eastAsia="en-US"/>
              </w:rPr>
            </w:pPr>
            <w:r>
              <w:rPr>
                <w:rFonts w:hint="eastAsia" w:ascii="黑体" w:hAnsi="宋体" w:eastAsia="黑体" w:cs="宋体"/>
                <w:b w:val="0"/>
                <w:bCs/>
                <w:kern w:val="0"/>
                <w:szCs w:val="21"/>
              </w:rPr>
              <w:t>教授</w:t>
            </w:r>
          </w:p>
        </w:tc>
        <w:tc>
          <w:tcPr>
            <w:tcW w:w="1497" w:type="dxa"/>
            <w:tcBorders>
              <w:top w:val="single" w:color="000000" w:sz="4" w:space="0"/>
              <w:left w:val="nil"/>
              <w:bottom w:val="single" w:color="000000" w:sz="4" w:space="0"/>
              <w:right w:val="single" w:color="000000" w:sz="4" w:space="0"/>
            </w:tcBorders>
            <w:noWrap w:val="0"/>
            <w:vAlign w:val="center"/>
          </w:tcPr>
          <w:p w14:paraId="41F53FAF">
            <w:pPr>
              <w:widowControl/>
              <w:spacing w:line="500" w:lineRule="exact"/>
              <w:jc w:val="center"/>
              <w:rPr>
                <w:rFonts w:ascii="黑体" w:hAnsi="宋体" w:eastAsia="黑体" w:cs="宋体"/>
                <w:b/>
                <w:kern w:val="0"/>
                <w:szCs w:val="21"/>
              </w:rPr>
            </w:pPr>
          </w:p>
        </w:tc>
      </w:tr>
      <w:tr w14:paraId="78AEDAFD">
        <w:tblPrEx>
          <w:tblCellMar>
            <w:top w:w="0" w:type="dxa"/>
            <w:left w:w="108" w:type="dxa"/>
            <w:bottom w:w="0" w:type="dxa"/>
            <w:right w:w="108" w:type="dxa"/>
          </w:tblCellMar>
        </w:tblPrEx>
        <w:trPr>
          <w:trHeight w:val="737" w:hRule="atLeast"/>
          <w:jc w:val="center"/>
        </w:trPr>
        <w:tc>
          <w:tcPr>
            <w:tcW w:w="1074" w:type="dxa"/>
            <w:vMerge w:val="continue"/>
            <w:tcBorders>
              <w:left w:val="single" w:color="000000" w:sz="4" w:space="0"/>
              <w:right w:val="single" w:color="000000" w:sz="4" w:space="0"/>
            </w:tcBorders>
            <w:noWrap w:val="0"/>
            <w:vAlign w:val="top"/>
          </w:tcPr>
          <w:p w14:paraId="2E555B80">
            <w:pPr>
              <w:widowControl/>
              <w:spacing w:line="500" w:lineRule="exact"/>
              <w:jc w:val="center"/>
              <w:rPr>
                <w:rFonts w:ascii="黑体" w:hAnsi="宋体" w:eastAsia="黑体" w:cs="宋体"/>
                <w:b/>
                <w:kern w:val="0"/>
                <w:szCs w:val="21"/>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F0E5D4">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hint="default" w:ascii="黑体" w:hAnsi="宋体" w:eastAsia="黑体" w:cs="宋体"/>
                <w:b w:val="0"/>
                <w:bCs/>
                <w:kern w:val="0"/>
                <w:szCs w:val="21"/>
                <w:lang w:val="en-US" w:eastAsia="zh-CN"/>
              </w:rPr>
            </w:pPr>
            <w:r>
              <w:rPr>
                <w:rFonts w:hint="eastAsia" w:ascii="黑体" w:hAnsi="宋体" w:eastAsia="黑体" w:cs="宋体"/>
                <w:b w:val="0"/>
                <w:bCs/>
                <w:kern w:val="0"/>
                <w:szCs w:val="21"/>
                <w:lang w:val="en-US" w:eastAsia="zh-CN"/>
              </w:rPr>
              <w:t>王科峰</w:t>
            </w:r>
          </w:p>
        </w:tc>
        <w:tc>
          <w:tcPr>
            <w:tcW w:w="3261" w:type="dxa"/>
            <w:tcBorders>
              <w:top w:val="single" w:color="000000" w:sz="4" w:space="0"/>
              <w:left w:val="nil"/>
              <w:bottom w:val="single" w:color="000000" w:sz="4" w:space="0"/>
              <w:right w:val="single" w:color="000000" w:sz="4" w:space="0"/>
            </w:tcBorders>
            <w:shd w:val="clear" w:color="auto" w:fill="auto"/>
            <w:noWrap w:val="0"/>
            <w:vAlign w:val="center"/>
          </w:tcPr>
          <w:p w14:paraId="314028B8">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ascii="黑体" w:hAnsi="宋体" w:eastAsia="黑体" w:cs="宋体"/>
                <w:b w:val="0"/>
                <w:bCs/>
                <w:kern w:val="0"/>
                <w:szCs w:val="21"/>
                <w:lang w:val="en-US" w:eastAsia="en-US"/>
              </w:rPr>
            </w:pPr>
            <w:r>
              <w:rPr>
                <w:rFonts w:hint="eastAsia" w:ascii="黑体" w:hAnsi="宋体" w:eastAsia="黑体" w:cs="宋体"/>
                <w:b w:val="0"/>
                <w:bCs/>
                <w:kern w:val="0"/>
                <w:szCs w:val="21"/>
                <w:lang w:val="en-US" w:eastAsia="en-US"/>
              </w:rPr>
              <w:t>河南豫光冶金机械制造有限公司</w:t>
            </w:r>
          </w:p>
        </w:tc>
        <w:tc>
          <w:tcPr>
            <w:tcW w:w="2033" w:type="dxa"/>
            <w:tcBorders>
              <w:top w:val="single" w:color="000000" w:sz="4" w:space="0"/>
              <w:left w:val="nil"/>
              <w:bottom w:val="single" w:color="000000" w:sz="4" w:space="0"/>
              <w:right w:val="single" w:color="000000" w:sz="4" w:space="0"/>
            </w:tcBorders>
            <w:shd w:val="clear" w:color="auto" w:fill="auto"/>
            <w:noWrap w:val="0"/>
            <w:vAlign w:val="center"/>
          </w:tcPr>
          <w:p w14:paraId="091CB8EB">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ascii="黑体" w:hAnsi="宋体" w:eastAsia="黑体" w:cs="宋体"/>
                <w:b w:val="0"/>
                <w:bCs/>
                <w:kern w:val="0"/>
                <w:szCs w:val="21"/>
                <w:lang w:val="en-US" w:eastAsia="en-US"/>
              </w:rPr>
            </w:pPr>
            <w:r>
              <w:rPr>
                <w:rFonts w:hint="eastAsia" w:ascii="黑体" w:hAnsi="宋体" w:eastAsia="黑体" w:cs="宋体"/>
                <w:b w:val="0"/>
                <w:bCs/>
                <w:kern w:val="0"/>
                <w:szCs w:val="21"/>
              </w:rPr>
              <w:t>高级工程师</w:t>
            </w:r>
          </w:p>
        </w:tc>
        <w:tc>
          <w:tcPr>
            <w:tcW w:w="1497" w:type="dxa"/>
            <w:tcBorders>
              <w:top w:val="single" w:color="000000" w:sz="4" w:space="0"/>
              <w:left w:val="nil"/>
              <w:bottom w:val="single" w:color="000000" w:sz="4" w:space="0"/>
              <w:right w:val="single" w:color="000000" w:sz="4" w:space="0"/>
            </w:tcBorders>
            <w:noWrap w:val="0"/>
            <w:vAlign w:val="center"/>
          </w:tcPr>
          <w:p w14:paraId="393DF17C">
            <w:pPr>
              <w:widowControl/>
              <w:spacing w:line="500" w:lineRule="exact"/>
              <w:jc w:val="center"/>
              <w:rPr>
                <w:rFonts w:ascii="黑体" w:hAnsi="宋体" w:eastAsia="黑体" w:cs="宋体"/>
                <w:b/>
                <w:kern w:val="0"/>
                <w:szCs w:val="21"/>
              </w:rPr>
            </w:pPr>
          </w:p>
        </w:tc>
      </w:tr>
      <w:tr w14:paraId="19407E5A">
        <w:tblPrEx>
          <w:tblCellMar>
            <w:top w:w="0" w:type="dxa"/>
            <w:left w:w="108" w:type="dxa"/>
            <w:bottom w:w="0" w:type="dxa"/>
            <w:right w:w="108" w:type="dxa"/>
          </w:tblCellMar>
        </w:tblPrEx>
        <w:trPr>
          <w:trHeight w:val="737" w:hRule="atLeast"/>
          <w:jc w:val="center"/>
        </w:trPr>
        <w:tc>
          <w:tcPr>
            <w:tcW w:w="1074" w:type="dxa"/>
            <w:vMerge w:val="continue"/>
            <w:tcBorders>
              <w:left w:val="single" w:color="000000" w:sz="4" w:space="0"/>
              <w:right w:val="single" w:color="000000" w:sz="4" w:space="0"/>
            </w:tcBorders>
            <w:noWrap w:val="0"/>
            <w:vAlign w:val="top"/>
          </w:tcPr>
          <w:p w14:paraId="11EC3D2C">
            <w:pPr>
              <w:widowControl/>
              <w:spacing w:line="500" w:lineRule="exact"/>
              <w:jc w:val="center"/>
              <w:rPr>
                <w:rFonts w:ascii="黑体" w:hAnsi="宋体" w:eastAsia="黑体" w:cs="宋体"/>
                <w:b/>
                <w:kern w:val="0"/>
                <w:szCs w:val="21"/>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716BC4A">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ascii="黑体" w:hAnsi="宋体" w:eastAsia="黑体" w:cs="宋体"/>
                <w:b w:val="0"/>
                <w:bCs/>
                <w:kern w:val="0"/>
                <w:szCs w:val="21"/>
                <w:lang w:val="en-US" w:eastAsia="en-US"/>
              </w:rPr>
            </w:pPr>
            <w:r>
              <w:rPr>
                <w:rFonts w:hint="eastAsia" w:ascii="黑体" w:hAnsi="宋体" w:eastAsia="黑体" w:cs="宋体"/>
                <w:b w:val="0"/>
                <w:bCs/>
                <w:kern w:val="0"/>
                <w:szCs w:val="21"/>
              </w:rPr>
              <w:t>杨玉霞</w:t>
            </w:r>
          </w:p>
        </w:tc>
        <w:tc>
          <w:tcPr>
            <w:tcW w:w="3261" w:type="dxa"/>
            <w:tcBorders>
              <w:top w:val="single" w:color="000000" w:sz="4" w:space="0"/>
              <w:left w:val="nil"/>
              <w:bottom w:val="single" w:color="000000" w:sz="4" w:space="0"/>
              <w:right w:val="single" w:color="000000" w:sz="4" w:space="0"/>
            </w:tcBorders>
            <w:shd w:val="clear" w:color="auto" w:fill="auto"/>
            <w:noWrap w:val="0"/>
            <w:vAlign w:val="center"/>
          </w:tcPr>
          <w:p w14:paraId="67CD656A">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ascii="黑体" w:hAnsi="宋体" w:eastAsia="黑体" w:cs="宋体"/>
                <w:b w:val="0"/>
                <w:bCs/>
                <w:kern w:val="0"/>
                <w:szCs w:val="21"/>
                <w:lang w:val="en-US" w:eastAsia="en-US"/>
              </w:rPr>
            </w:pPr>
            <w:r>
              <w:rPr>
                <w:rFonts w:hint="eastAsia" w:ascii="黑体" w:hAnsi="宋体" w:eastAsia="黑体" w:cs="宋体"/>
                <w:b w:val="0"/>
                <w:bCs/>
                <w:kern w:val="0"/>
                <w:szCs w:val="21"/>
              </w:rPr>
              <w:t>济源职业技术学院</w:t>
            </w:r>
          </w:p>
        </w:tc>
        <w:tc>
          <w:tcPr>
            <w:tcW w:w="2033" w:type="dxa"/>
            <w:tcBorders>
              <w:top w:val="single" w:color="000000" w:sz="4" w:space="0"/>
              <w:left w:val="nil"/>
              <w:bottom w:val="single" w:color="000000" w:sz="4" w:space="0"/>
              <w:right w:val="single" w:color="000000" w:sz="4" w:space="0"/>
            </w:tcBorders>
            <w:shd w:val="clear" w:color="auto" w:fill="auto"/>
            <w:noWrap w:val="0"/>
            <w:vAlign w:val="center"/>
          </w:tcPr>
          <w:p w14:paraId="450F6577">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ascii="黑体" w:hAnsi="宋体" w:eastAsia="黑体" w:cs="宋体"/>
                <w:b w:val="0"/>
                <w:bCs/>
                <w:kern w:val="0"/>
                <w:szCs w:val="21"/>
                <w:lang w:val="en-US" w:eastAsia="en-US"/>
              </w:rPr>
            </w:pPr>
            <w:r>
              <w:rPr>
                <w:rFonts w:hint="eastAsia" w:ascii="黑体" w:hAnsi="宋体" w:eastAsia="黑体" w:cs="宋体"/>
                <w:b w:val="0"/>
                <w:bCs/>
                <w:kern w:val="0"/>
                <w:szCs w:val="21"/>
              </w:rPr>
              <w:t>副教授</w:t>
            </w:r>
          </w:p>
        </w:tc>
        <w:tc>
          <w:tcPr>
            <w:tcW w:w="1497" w:type="dxa"/>
            <w:tcBorders>
              <w:top w:val="single" w:color="000000" w:sz="4" w:space="0"/>
              <w:left w:val="nil"/>
              <w:bottom w:val="single" w:color="000000" w:sz="4" w:space="0"/>
              <w:right w:val="single" w:color="000000" w:sz="4" w:space="0"/>
            </w:tcBorders>
            <w:noWrap w:val="0"/>
            <w:vAlign w:val="center"/>
          </w:tcPr>
          <w:p w14:paraId="59904F78">
            <w:pPr>
              <w:widowControl/>
              <w:spacing w:line="500" w:lineRule="exact"/>
              <w:jc w:val="center"/>
              <w:rPr>
                <w:rFonts w:ascii="黑体" w:hAnsi="宋体" w:eastAsia="黑体" w:cs="宋体"/>
                <w:b/>
                <w:kern w:val="0"/>
                <w:szCs w:val="21"/>
              </w:rPr>
            </w:pPr>
          </w:p>
        </w:tc>
      </w:tr>
      <w:tr w14:paraId="6FFA85BD">
        <w:tblPrEx>
          <w:tblCellMar>
            <w:top w:w="0" w:type="dxa"/>
            <w:left w:w="108" w:type="dxa"/>
            <w:bottom w:w="0" w:type="dxa"/>
            <w:right w:w="108" w:type="dxa"/>
          </w:tblCellMar>
        </w:tblPrEx>
        <w:trPr>
          <w:trHeight w:val="2460" w:hRule="atLeast"/>
          <w:jc w:val="center"/>
        </w:trPr>
        <w:tc>
          <w:tcPr>
            <w:tcW w:w="8825" w:type="dxa"/>
            <w:gridSpan w:val="5"/>
            <w:tcBorders>
              <w:top w:val="single" w:color="000000" w:sz="4" w:space="0"/>
              <w:left w:val="single" w:color="000000" w:sz="4" w:space="0"/>
              <w:bottom w:val="single" w:color="000000" w:sz="4" w:space="0"/>
              <w:right w:val="single" w:color="000000" w:sz="4" w:space="0"/>
            </w:tcBorders>
            <w:noWrap w:val="0"/>
            <w:vAlign w:val="top"/>
          </w:tcPr>
          <w:p w14:paraId="7EE49B5E">
            <w:pPr>
              <w:widowControl/>
              <w:spacing w:line="500" w:lineRule="exact"/>
              <w:jc w:val="left"/>
              <w:rPr>
                <w:rFonts w:hint="eastAsia" w:ascii="宋体" w:hAnsi="宋体" w:eastAsia="宋体" w:cs="宋体"/>
                <w:b/>
                <w:kern w:val="0"/>
                <w:sz w:val="24"/>
                <w:lang w:eastAsia="zh-CN"/>
              </w:rPr>
            </w:pPr>
            <w:r>
              <w:rPr>
                <w:rFonts w:hint="eastAsia" w:ascii="宋体" w:hAnsi="宋体" w:cs="宋体"/>
                <w:b/>
                <w:kern w:val="0"/>
                <w:sz w:val="24"/>
              </w:rPr>
              <w:t>专家意见</w:t>
            </w:r>
            <w:r>
              <w:rPr>
                <w:rFonts w:hint="eastAsia" w:ascii="宋体" w:hAnsi="宋体" w:cs="宋体"/>
                <w:b/>
                <w:kern w:val="0"/>
                <w:sz w:val="24"/>
                <w:lang w:eastAsia="zh-CN"/>
              </w:rPr>
              <w:t>：</w:t>
            </w:r>
          </w:p>
          <w:p w14:paraId="26B14C1B">
            <w:pPr>
              <w:widowControl/>
              <w:spacing w:line="500" w:lineRule="exact"/>
              <w:ind w:firstLine="480" w:firstLineChars="200"/>
              <w:rPr>
                <w:rFonts w:hint="eastAsia" w:ascii="黑体" w:hAnsi="黑体" w:eastAsia="黑体" w:cs="黑体"/>
                <w:b w:val="0"/>
                <w:bCs/>
                <w:kern w:val="0"/>
                <w:sz w:val="24"/>
                <w:lang w:val="en-US" w:eastAsia="zh-CN"/>
              </w:rPr>
            </w:pPr>
          </w:p>
          <w:p w14:paraId="2937B0EF">
            <w:pPr>
              <w:widowControl/>
              <w:spacing w:line="500" w:lineRule="exact"/>
              <w:ind w:firstLine="480" w:firstLineChars="200"/>
              <w:rPr>
                <w:rFonts w:ascii="黑体" w:hAnsi="宋体" w:eastAsia="黑体" w:cs="宋体"/>
                <w:b/>
                <w:kern w:val="0"/>
                <w:sz w:val="15"/>
                <w:szCs w:val="15"/>
              </w:rPr>
            </w:pPr>
            <w:r>
              <w:rPr>
                <w:rFonts w:hint="eastAsia" w:ascii="黑体" w:hAnsi="黑体" w:eastAsia="黑体" w:cs="黑体"/>
                <w:b w:val="0"/>
                <w:bCs/>
                <w:kern w:val="0"/>
                <w:sz w:val="24"/>
                <w:lang w:val="en-US" w:eastAsia="zh-CN"/>
              </w:rPr>
              <w:t>机电一体化</w:t>
            </w:r>
            <w:r>
              <w:rPr>
                <w:rFonts w:hint="eastAsia" w:ascii="黑体" w:hAnsi="黑体" w:eastAsia="黑体" w:cs="黑体"/>
                <w:b w:val="0"/>
                <w:bCs/>
                <w:kern w:val="0"/>
                <w:sz w:val="24"/>
              </w:rPr>
              <w:t>技术专业以行业企业需求为导向，按照企业的生产过程和岗位技能要求，制定了人才培养方案。该方案定位清晰、目标明确，课程体系设置科学合理，注重学生素质、技术、技能的培养，可行性高。</w:t>
            </w:r>
          </w:p>
          <w:p w14:paraId="65D88A84">
            <w:pPr>
              <w:keepNext w:val="0"/>
              <w:keepLines w:val="0"/>
              <w:pageBreakBefore w:val="0"/>
              <w:widowControl/>
              <w:kinsoku/>
              <w:wordWrap/>
              <w:overflowPunct/>
              <w:topLinePunct w:val="0"/>
              <w:autoSpaceDE/>
              <w:autoSpaceDN/>
              <w:bidi w:val="0"/>
              <w:adjustRightInd/>
              <w:snapToGrid/>
              <w:spacing w:line="420" w:lineRule="exact"/>
              <w:ind w:firstLine="482"/>
              <w:jc w:val="center"/>
              <w:textAlignment w:val="auto"/>
              <w:rPr>
                <w:rFonts w:ascii="黑体" w:hAnsi="宋体" w:eastAsia="黑体" w:cs="宋体"/>
                <w:b/>
                <w:kern w:val="0"/>
                <w:sz w:val="15"/>
                <w:szCs w:val="15"/>
              </w:rPr>
            </w:pPr>
          </w:p>
          <w:p w14:paraId="7ED2453D">
            <w:pPr>
              <w:widowControl/>
              <w:spacing w:line="500" w:lineRule="exact"/>
              <w:ind w:firstLine="3045" w:firstLineChars="1264"/>
              <w:jc w:val="center"/>
              <w:rPr>
                <w:rFonts w:ascii="宋体" w:hAnsi="宋体" w:cs="宋体"/>
                <w:b/>
                <w:kern w:val="0"/>
                <w:sz w:val="24"/>
              </w:rPr>
            </w:pPr>
            <w:r>
              <w:rPr>
                <w:rFonts w:hint="eastAsia" w:ascii="宋体" w:hAnsi="宋体" w:cs="宋体"/>
                <w:b/>
                <w:kern w:val="0"/>
                <w:sz w:val="24"/>
              </w:rPr>
              <w:t>专业建设指导委员会主任签名：</w:t>
            </w:r>
          </w:p>
          <w:p w14:paraId="4B383A88">
            <w:pPr>
              <w:widowControl/>
              <w:spacing w:before="156" w:beforeLines="50" w:line="500" w:lineRule="exact"/>
              <w:ind w:firstLine="3045" w:firstLineChars="1264"/>
              <w:jc w:val="center"/>
              <w:rPr>
                <w:rFonts w:ascii="宋体" w:hAnsi="宋体" w:cs="宋体"/>
                <w:b/>
                <w:kern w:val="0"/>
                <w:sz w:val="24"/>
              </w:rPr>
            </w:pPr>
            <w:r>
              <w:rPr>
                <w:rFonts w:hint="eastAsia" w:ascii="宋体" w:hAnsi="宋体" w:cs="宋体"/>
                <w:b/>
                <w:kern w:val="0"/>
                <w:sz w:val="24"/>
              </w:rPr>
              <w:t>年      月     日</w:t>
            </w:r>
          </w:p>
        </w:tc>
      </w:tr>
      <w:tr w14:paraId="45DDDBA0">
        <w:tblPrEx>
          <w:tblCellMar>
            <w:top w:w="0" w:type="dxa"/>
            <w:left w:w="108" w:type="dxa"/>
            <w:bottom w:w="0" w:type="dxa"/>
            <w:right w:w="108" w:type="dxa"/>
          </w:tblCellMar>
        </w:tblPrEx>
        <w:trPr>
          <w:trHeight w:val="2440" w:hRule="atLeast"/>
          <w:jc w:val="center"/>
        </w:trPr>
        <w:tc>
          <w:tcPr>
            <w:tcW w:w="8825" w:type="dxa"/>
            <w:gridSpan w:val="5"/>
            <w:tcBorders>
              <w:top w:val="single" w:color="000000" w:sz="4" w:space="0"/>
              <w:left w:val="single" w:color="000000" w:sz="4" w:space="0"/>
              <w:bottom w:val="single" w:color="000000" w:sz="4" w:space="0"/>
              <w:right w:val="single" w:color="000000" w:sz="4" w:space="0"/>
            </w:tcBorders>
            <w:noWrap w:val="0"/>
            <w:vAlign w:val="top"/>
          </w:tcPr>
          <w:p w14:paraId="558B64D4">
            <w:pPr>
              <w:widowControl/>
              <w:spacing w:line="500" w:lineRule="exact"/>
              <w:jc w:val="both"/>
              <w:rPr>
                <w:rFonts w:hint="eastAsia" w:ascii="宋体" w:hAnsi="宋体" w:eastAsia="宋体" w:cs="宋体"/>
                <w:b/>
                <w:kern w:val="0"/>
                <w:sz w:val="24"/>
                <w:lang w:eastAsia="zh-CN"/>
              </w:rPr>
            </w:pPr>
            <w:r>
              <w:rPr>
                <w:rFonts w:hint="eastAsia" w:ascii="宋体" w:hAnsi="宋体" w:eastAsia="宋体" w:cs="宋体"/>
                <w:b/>
                <w:kern w:val="0"/>
                <w:sz w:val="24"/>
                <w:lang w:val="en-US" w:eastAsia="zh-CN"/>
              </w:rPr>
              <w:t>部门意见</w:t>
            </w:r>
            <w:r>
              <w:rPr>
                <w:rFonts w:hint="eastAsia" w:ascii="宋体" w:hAnsi="宋体" w:eastAsia="宋体" w:cs="宋体"/>
                <w:b/>
                <w:kern w:val="0"/>
                <w:sz w:val="24"/>
                <w:lang w:eastAsia="zh-CN"/>
              </w:rPr>
              <w:t>：</w:t>
            </w:r>
          </w:p>
          <w:p w14:paraId="5408DAAC">
            <w:pPr>
              <w:keepNext w:val="0"/>
              <w:keepLines w:val="0"/>
              <w:pageBreakBefore w:val="0"/>
              <w:widowControl/>
              <w:kinsoku/>
              <w:wordWrap/>
              <w:overflowPunct/>
              <w:topLinePunct w:val="0"/>
              <w:autoSpaceDE/>
              <w:autoSpaceDN/>
              <w:bidi w:val="0"/>
              <w:adjustRightInd/>
              <w:snapToGrid/>
              <w:spacing w:line="420" w:lineRule="exact"/>
              <w:ind w:firstLine="482"/>
              <w:jc w:val="center"/>
              <w:textAlignment w:val="auto"/>
              <w:rPr>
                <w:rFonts w:hint="eastAsia" w:ascii="黑体" w:hAnsi="宋体" w:eastAsia="黑体" w:cs="宋体"/>
                <w:b/>
                <w:kern w:val="0"/>
                <w:sz w:val="15"/>
                <w:szCs w:val="15"/>
              </w:rPr>
            </w:pPr>
          </w:p>
          <w:p w14:paraId="7FFA9982">
            <w:pPr>
              <w:keepNext w:val="0"/>
              <w:keepLines w:val="0"/>
              <w:pageBreakBefore w:val="0"/>
              <w:widowControl/>
              <w:kinsoku/>
              <w:wordWrap/>
              <w:overflowPunct/>
              <w:topLinePunct w:val="0"/>
              <w:autoSpaceDE/>
              <w:autoSpaceDN/>
              <w:bidi w:val="0"/>
              <w:adjustRightInd/>
              <w:snapToGrid/>
              <w:spacing w:line="420" w:lineRule="exact"/>
              <w:ind w:firstLine="482"/>
              <w:jc w:val="center"/>
              <w:textAlignment w:val="auto"/>
              <w:rPr>
                <w:rFonts w:hint="eastAsia" w:ascii="黑体" w:hAnsi="宋体" w:eastAsia="黑体" w:cs="宋体"/>
                <w:b/>
                <w:kern w:val="0"/>
                <w:sz w:val="15"/>
                <w:szCs w:val="15"/>
              </w:rPr>
            </w:pPr>
          </w:p>
          <w:p w14:paraId="43AEE107">
            <w:pPr>
              <w:widowControl/>
              <w:spacing w:line="500" w:lineRule="exact"/>
              <w:ind w:firstLine="3045" w:firstLineChars="1264"/>
              <w:jc w:val="center"/>
              <w:rPr>
                <w:rFonts w:hint="eastAsia" w:ascii="宋体" w:hAnsi="宋体" w:eastAsia="宋体" w:cs="宋体"/>
                <w:b/>
                <w:kern w:val="0"/>
                <w:sz w:val="24"/>
                <w:lang w:eastAsia="zh-CN"/>
              </w:rPr>
            </w:pPr>
            <w:r>
              <w:rPr>
                <w:rFonts w:hint="eastAsia" w:ascii="宋体" w:hAnsi="宋体" w:cs="宋体"/>
                <w:b/>
                <w:kern w:val="0"/>
                <w:sz w:val="24"/>
                <w:lang w:val="en-US" w:eastAsia="zh-CN"/>
              </w:rPr>
              <w:t>负责人</w:t>
            </w:r>
            <w:r>
              <w:rPr>
                <w:rFonts w:hint="eastAsia" w:ascii="宋体" w:hAnsi="宋体" w:cs="宋体"/>
                <w:b/>
                <w:kern w:val="0"/>
                <w:sz w:val="24"/>
              </w:rPr>
              <w:t>签名：</w:t>
            </w:r>
            <w:r>
              <w:rPr>
                <w:rFonts w:hint="eastAsia" w:ascii="宋体" w:hAnsi="宋体" w:cs="宋体"/>
                <w:b/>
                <w:kern w:val="0"/>
                <w:sz w:val="24"/>
                <w:lang w:eastAsia="zh-CN"/>
              </w:rPr>
              <w:t>（</w:t>
            </w:r>
            <w:r>
              <w:rPr>
                <w:rFonts w:hint="eastAsia" w:ascii="宋体" w:hAnsi="宋体" w:cs="宋体"/>
                <w:b/>
                <w:kern w:val="0"/>
                <w:sz w:val="24"/>
                <w:lang w:val="en-US" w:eastAsia="zh-CN"/>
              </w:rPr>
              <w:t>部门公章</w:t>
            </w:r>
            <w:r>
              <w:rPr>
                <w:rFonts w:hint="eastAsia" w:ascii="宋体" w:hAnsi="宋体" w:cs="宋体"/>
                <w:b/>
                <w:kern w:val="0"/>
                <w:sz w:val="24"/>
                <w:lang w:eastAsia="zh-CN"/>
              </w:rPr>
              <w:t>）</w:t>
            </w:r>
          </w:p>
          <w:p w14:paraId="55B00098">
            <w:pPr>
              <w:widowControl/>
              <w:spacing w:before="156" w:beforeLines="50" w:line="500" w:lineRule="exact"/>
              <w:ind w:firstLine="6505" w:firstLineChars="2700"/>
              <w:jc w:val="both"/>
              <w:rPr>
                <w:rFonts w:hint="default" w:ascii="宋体" w:hAnsi="宋体" w:eastAsia="宋体" w:cs="宋体"/>
                <w:b/>
                <w:kern w:val="0"/>
                <w:sz w:val="24"/>
                <w:lang w:val="en-US" w:eastAsia="zh-CN"/>
              </w:rPr>
            </w:pPr>
            <w:r>
              <w:rPr>
                <w:rFonts w:hint="eastAsia" w:ascii="宋体" w:hAnsi="宋体" w:cs="宋体"/>
                <w:b/>
                <w:kern w:val="0"/>
                <w:sz w:val="24"/>
              </w:rPr>
              <w:t>年      月     日</w:t>
            </w:r>
          </w:p>
        </w:tc>
      </w:tr>
    </w:tbl>
    <w:p w14:paraId="2EFE9D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p>
    <w:sectPr>
      <w:pgSz w:w="11906" w:h="16838"/>
      <w:pgMar w:top="1134" w:right="1247" w:bottom="1701" w:left="1247" w:header="680" w:footer="1446" w:gutter="0"/>
      <w:pgNumType w:fmt="decimal"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9E3F6CC-C8AB-4F50-8B38-9DB88C19B46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embedRegular r:id="rId2" w:fontKey="{3CACBBF5-108B-4A81-A60A-F0F45B46AC59}"/>
  </w:font>
  <w:font w:name="方正小标宋简体">
    <w:panose1 w:val="02000000000000000000"/>
    <w:charset w:val="86"/>
    <w:family w:val="script"/>
    <w:pitch w:val="default"/>
    <w:sig w:usb0="00000001" w:usb1="08000000" w:usb2="00000000" w:usb3="00000000" w:csb0="00040000" w:csb1="00000000"/>
    <w:embedRegular r:id="rId3" w:fontKey="{AA0CB0CD-EC4A-4CEB-AF03-C6844C09F2F1}"/>
  </w:font>
  <w:font w:name="MS Gothic">
    <w:panose1 w:val="020B0609070205080204"/>
    <w:charset w:val="80"/>
    <w:family w:val="modern"/>
    <w:pitch w:val="default"/>
    <w:sig w:usb0="E00002FF" w:usb1="6AC7FDFB" w:usb2="08000012" w:usb3="00000000" w:csb0="4002009F" w:csb1="DFD70000"/>
    <w:embedRegular r:id="rId4" w:fontKey="{A4F086B1-DEF0-47C8-B5BF-854D4E512509}"/>
  </w:font>
  <w:font w:name="方正黑体简体">
    <w:panose1 w:val="03000509000000000000"/>
    <w:charset w:val="86"/>
    <w:family w:val="script"/>
    <w:pitch w:val="default"/>
    <w:sig w:usb0="00000001" w:usb1="080E0000" w:usb2="00000000" w:usb3="00000000" w:csb0="00040000" w:csb1="00000000"/>
    <w:embedRegular r:id="rId5" w:fontKey="{58A48FDA-B913-4D21-B165-EABFD3CAD048}"/>
  </w:font>
  <w:font w:name="楷体">
    <w:panose1 w:val="02010609060101010101"/>
    <w:charset w:val="86"/>
    <w:family w:val="modern"/>
    <w:pitch w:val="default"/>
    <w:sig w:usb0="800002BF" w:usb1="38CF7CFA" w:usb2="00000016" w:usb3="00000000" w:csb0="00040001" w:csb1="00000000"/>
    <w:embedRegular r:id="rId6" w:fontKey="{C0A81212-0E9A-4A99-B4D3-B702CEDD23D3}"/>
  </w:font>
  <w:font w:name="方正书宋简体">
    <w:panose1 w:val="02000000000000000000"/>
    <w:charset w:val="86"/>
    <w:family w:val="script"/>
    <w:pitch w:val="default"/>
    <w:sig w:usb0="A00002BF" w:usb1="184F6CFA" w:usb2="00000012" w:usb3="00000000" w:csb0="00040001" w:csb1="00000000"/>
    <w:embedRegular r:id="rId7" w:fontKey="{720FDE41-57D2-4655-8347-C5A27FD99B1F}"/>
  </w:font>
  <w:font w:name="方正仿宋_GBK">
    <w:panose1 w:val="03000509000000000000"/>
    <w:charset w:val="86"/>
    <w:family w:val="auto"/>
    <w:pitch w:val="default"/>
    <w:sig w:usb0="00000001" w:usb1="080E0000" w:usb2="00000000" w:usb3="00000000" w:csb0="00040000" w:csb1="00000000"/>
    <w:embedRegular r:id="rId8" w:fontKey="{0007BF6D-1757-4FB9-AA9C-C4E1C8B27C06}"/>
  </w:font>
  <w:font w:name="方正仿宋简体">
    <w:altName w:val="微软雅黑"/>
    <w:panose1 w:val="03000509000000000000"/>
    <w:charset w:val="86"/>
    <w:family w:val="script"/>
    <w:pitch w:val="default"/>
    <w:sig w:usb0="00000000" w:usb1="00000000" w:usb2="00000010" w:usb3="00000000" w:csb0="00040000" w:csb1="00000000"/>
    <w:embedRegular r:id="rId9" w:fontKey="{C747E26B-4391-446E-B78D-44434A80752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C90412">
    <w:pPr>
      <w:pStyle w:val="9"/>
      <w:ind w:right="360" w:firstLine="360"/>
      <w:rPr>
        <w:rFonts w:ascii="Times New Roman" w:hAnsi="Times New Roma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C5DBB38">
                          <w:pPr>
                            <w:pStyle w:val="9"/>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文本框 1039"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6pebnPAAAABQEAAA8AAAAAAAAA&#10;AQAgAAAAIgAAAGRycy9kb3ducmV2LnhtbFBLAQIUABQAAAAIAIdO4kCnw1SZ4QEAAMEDAAAOAAAA&#10;AAAAAAEAIAAAAB4BAABkcnMvZTJvRG9jLnhtbFBLBQYAAAAABgAGAFkBAABxBQAAAAA=&#10;">
              <v:fill on="f" focussize="0,0"/>
              <v:stroke on="f"/>
              <v:imagedata o:title=""/>
              <o:lock v:ext="edit" aspectratio="f"/>
              <v:textbox inset="0mm,0mm,0mm,0mm" style="mso-fit-shape-to-text:t;">
                <w:txbxContent>
                  <w:p w14:paraId="2C5DBB38">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D0FC4">
    <w:pPr>
      <w:pStyle w:val="9"/>
      <w:adjustRightInd w:val="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FBDE241">
                          <w:pPr>
                            <w:pStyle w:val="9"/>
                          </w:pPr>
                          <w:r>
                            <w:fldChar w:fldCharType="begin"/>
                          </w:r>
                          <w:r>
                            <w:instrText xml:space="preserve"> PAGE  \* MERGEFORMAT </w:instrText>
                          </w:r>
                          <w:r>
                            <w:fldChar w:fldCharType="separate"/>
                          </w:r>
                          <w:r>
                            <w:t>2</w:t>
                          </w:r>
                          <w:r>
                            <w:fldChar w:fldCharType="end"/>
                          </w:r>
                        </w:p>
                      </w:txbxContent>
                    </wps:txbx>
                    <wps:bodyPr vert="horz" wrap="none" lIns="0" tIns="0" rIns="0" bIns="0" anchor="t" anchorCtr="0" upright="0">
                      <a:spAutoFit/>
                    </wps:bodyPr>
                  </wps:wsp>
                </a:graphicData>
              </a:graphic>
            </wp:anchor>
          </w:drawing>
        </mc:Choice>
        <mc:Fallback>
          <w:pict>
            <v:shape id="文本框 1040"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GJtyWd8BAADBAwAADgAAAAAA&#10;AAABACAAAAAeAQAAZHJzL2Uyb0RvYy54bWxQSwUGAAAAAAYABgBZAQAAbwUAAAAA&#10;">
              <v:fill on="f" focussize="0,0"/>
              <v:stroke on="f"/>
              <v:imagedata o:title=""/>
              <o:lock v:ext="edit" aspectratio="f"/>
              <v:textbox inset="0mm,0mm,0mm,0mm" style="mso-fit-shape-to-text:t;">
                <w:txbxContent>
                  <w:p w14:paraId="2FBDE241">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4C0F71">
    <w:pPr>
      <w:pStyle w:val="6"/>
      <w:pBdr>
        <w:bottom w:val="none" w:color="auto" w:sz="0" w:space="0"/>
      </w:pBdr>
      <w:spacing w:line="14" w:lineRule="auto"/>
      <w:rPr>
        <w:rFonts w:hint="eastAsia" w:ascii="微软雅黑" w:hAnsi="微软雅黑" w:eastAsia="微软雅黑" w:cs="微软雅黑"/>
        <w:sz w:val="20"/>
      </w:rPr>
    </w:pPr>
  </w:p>
  <w:p w14:paraId="4273FF26">
    <w:pPr>
      <w:pStyle w:val="10"/>
      <w:pBdr>
        <w:bottom w:val="single" w:color="auto" w:sz="4" w:space="1"/>
      </w:pBdr>
      <w:adjustRightInd w:val="0"/>
      <w:rPr>
        <w:rFonts w:hint="default" w:ascii="方正仿宋简体" w:hAnsi="Times New Roman" w:eastAsia="方正仿宋简体" w:cs="Times New Roman"/>
        <w:kern w:val="2"/>
        <w:sz w:val="24"/>
        <w:szCs w:val="24"/>
        <w:lang w:val="en-US"/>
      </w:rPr>
    </w:pPr>
    <w:r>
      <w:rPr>
        <w:rFonts w:hint="eastAsia" w:ascii="方正仿宋简体" w:hAnsi="Times New Roman" w:eastAsia="方正仿宋简体" w:cs="Times New Roman"/>
        <w:kern w:val="2"/>
        <w:sz w:val="24"/>
        <w:szCs w:val="24"/>
        <w:lang w:val="en-US" w:eastAsia="zh-CN"/>
      </w:rPr>
      <w:drawing>
        <wp:anchor distT="0" distB="0" distL="114300" distR="114300" simplePos="0" relativeHeight="251661312" behindDoc="0" locked="0" layoutInCell="1" allowOverlap="1">
          <wp:simplePos x="0" y="0"/>
          <wp:positionH relativeFrom="column">
            <wp:posOffset>5442585</wp:posOffset>
          </wp:positionH>
          <wp:positionV relativeFrom="paragraph">
            <wp:posOffset>-876300</wp:posOffset>
          </wp:positionV>
          <wp:extent cx="1639570" cy="367665"/>
          <wp:effectExtent l="0" t="0" r="0" b="0"/>
          <wp:wrapNone/>
          <wp:docPr id="3" name="图片 23" descr="微信截图_2021052622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3" descr="微信截图_20210526223010"/>
                  <pic:cNvPicPr>
                    <a:picLocks noChangeAspect="1"/>
                  </pic:cNvPicPr>
                </pic:nvPicPr>
                <pic:blipFill>
                  <a:blip r:embed="rId1"/>
                  <a:stretch>
                    <a:fillRect/>
                  </a:stretch>
                </pic:blipFill>
                <pic:spPr>
                  <a:xfrm>
                    <a:off x="0" y="0"/>
                    <a:ext cx="1639570" cy="367665"/>
                  </a:xfrm>
                  <a:prstGeom prst="rect">
                    <a:avLst/>
                  </a:prstGeom>
                  <a:noFill/>
                  <a:ln>
                    <a:noFill/>
                  </a:ln>
                </pic:spPr>
              </pic:pic>
            </a:graphicData>
          </a:graphic>
        </wp:anchor>
      </w:drawing>
    </w:r>
    <w:r>
      <w:rPr>
        <w:rFonts w:hint="eastAsia" w:ascii="方正仿宋简体" w:hAnsi="Times New Roman" w:eastAsia="方正仿宋简体" w:cs="Times New Roman"/>
        <w:kern w:val="2"/>
        <w:sz w:val="24"/>
        <w:szCs w:val="24"/>
        <w:lang w:val="en-US" w:eastAsia="zh-CN"/>
      </w:rPr>
      <w:t>机电一体化技术业（SGAVE项目智能制造方向）人才培养方案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90BE0">
    <w:pPr>
      <w:pStyle w:val="10"/>
      <w:adjustRightInd w:val="0"/>
      <w:rPr>
        <w:rFonts w:hint="default" w:ascii="微软雅黑" w:hAnsi="微软雅黑" w:eastAsia="微软雅黑" w:cs="微软雅黑"/>
        <w:color w:val="auto"/>
        <w:sz w:val="21"/>
        <w:szCs w:val="21"/>
        <w:highlight w:val="none"/>
        <w:lang w:val="en-US" w:eastAsia="zh-CN"/>
      </w:rPr>
    </w:pPr>
    <w:r>
      <w:rPr>
        <w:rFonts w:hint="eastAsia" w:ascii="方正仿宋简体" w:eastAsia="方正仿宋简体"/>
        <w:sz w:val="24"/>
        <w:szCs w:val="24"/>
        <w:lang w:val="en-US" w:eastAsia="zh-CN"/>
      </w:rPr>
      <w:t>2025</w:t>
    </w:r>
    <w:r>
      <w:rPr>
        <w:rFonts w:hint="eastAsia" w:ascii="方正仿宋简体" w:eastAsia="方正仿宋简体"/>
        <w:sz w:val="24"/>
        <w:szCs w:val="24"/>
      </w:rPr>
      <w:t>版高职专业人才培养方案汇编</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01A33D"/>
    <w:multiLevelType w:val="singleLevel"/>
    <w:tmpl w:val="D101A33D"/>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hyphenationZone w:val="360"/>
  <w:evenAndOddHeaders w:val="1"/>
  <w:drawingGridVerticalSpacing w:val="156"/>
  <w:displayHorizontalDrawingGridEvery w:val="1"/>
  <w:displayVerticalDrawingGridEvery w:val="1"/>
  <w:noPunctuationKerning w:val="1"/>
  <w:characterSpacingControl w:val="compressPunctuation"/>
  <w:noLineBreaksAfter w:lang="zh-CN" w:val="([{·‘“〈《「『【〔〖（．［｛￡￥"/>
  <w:noLineBreaksBefore w:lang="zh-CN" w:val="!),.:;?]}¨·ˇˉ―‖’”…∶、。〃々〉》」』】〕〗！＂＇），．：；？］｀｜｝～￠"/>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0MTkwMjdiM2ZmMjdmYWJkMTFkZWE1MGVmNjIzNjMifQ=="/>
  </w:docVars>
  <w:rsids>
    <w:rsidRoot w:val="3D1C5243"/>
    <w:rsid w:val="00000738"/>
    <w:rsid w:val="00005075"/>
    <w:rsid w:val="00007D3E"/>
    <w:rsid w:val="0001103A"/>
    <w:rsid w:val="00012406"/>
    <w:rsid w:val="00023418"/>
    <w:rsid w:val="000236DC"/>
    <w:rsid w:val="00027F8F"/>
    <w:rsid w:val="00034D19"/>
    <w:rsid w:val="00047C95"/>
    <w:rsid w:val="00055DC5"/>
    <w:rsid w:val="00064D69"/>
    <w:rsid w:val="0007122E"/>
    <w:rsid w:val="0007421F"/>
    <w:rsid w:val="00077B27"/>
    <w:rsid w:val="0008139D"/>
    <w:rsid w:val="00085BDD"/>
    <w:rsid w:val="00094C47"/>
    <w:rsid w:val="00095951"/>
    <w:rsid w:val="00096DCA"/>
    <w:rsid w:val="000A26F1"/>
    <w:rsid w:val="000A3006"/>
    <w:rsid w:val="000A46C4"/>
    <w:rsid w:val="000C4E04"/>
    <w:rsid w:val="000D0A1F"/>
    <w:rsid w:val="000D79E9"/>
    <w:rsid w:val="000E0744"/>
    <w:rsid w:val="000E4A72"/>
    <w:rsid w:val="000F0504"/>
    <w:rsid w:val="000F0773"/>
    <w:rsid w:val="000F0F01"/>
    <w:rsid w:val="000F5943"/>
    <w:rsid w:val="0010571C"/>
    <w:rsid w:val="00120B80"/>
    <w:rsid w:val="001333E8"/>
    <w:rsid w:val="0014383C"/>
    <w:rsid w:val="00145F56"/>
    <w:rsid w:val="00147196"/>
    <w:rsid w:val="001537D4"/>
    <w:rsid w:val="00160242"/>
    <w:rsid w:val="001701B7"/>
    <w:rsid w:val="001713E3"/>
    <w:rsid w:val="0019007E"/>
    <w:rsid w:val="00193ED3"/>
    <w:rsid w:val="00194CE8"/>
    <w:rsid w:val="00195B5A"/>
    <w:rsid w:val="001A0A31"/>
    <w:rsid w:val="001B1D1D"/>
    <w:rsid w:val="001B398D"/>
    <w:rsid w:val="001C01F0"/>
    <w:rsid w:val="001C04AF"/>
    <w:rsid w:val="001C29A7"/>
    <w:rsid w:val="001C7184"/>
    <w:rsid w:val="001D0756"/>
    <w:rsid w:val="001D3BB1"/>
    <w:rsid w:val="001D700C"/>
    <w:rsid w:val="001E50CD"/>
    <w:rsid w:val="001F1F98"/>
    <w:rsid w:val="001F6E00"/>
    <w:rsid w:val="002008B3"/>
    <w:rsid w:val="002042E7"/>
    <w:rsid w:val="00205131"/>
    <w:rsid w:val="00207500"/>
    <w:rsid w:val="002157D8"/>
    <w:rsid w:val="00215E3A"/>
    <w:rsid w:val="00220627"/>
    <w:rsid w:val="00222438"/>
    <w:rsid w:val="00223B54"/>
    <w:rsid w:val="0022404B"/>
    <w:rsid w:val="00240DED"/>
    <w:rsid w:val="002412A4"/>
    <w:rsid w:val="002416FF"/>
    <w:rsid w:val="00244C36"/>
    <w:rsid w:val="00245742"/>
    <w:rsid w:val="002522D1"/>
    <w:rsid w:val="002553BC"/>
    <w:rsid w:val="00265620"/>
    <w:rsid w:val="002719FC"/>
    <w:rsid w:val="002928FC"/>
    <w:rsid w:val="002960B0"/>
    <w:rsid w:val="002A0AB4"/>
    <w:rsid w:val="002A6EB0"/>
    <w:rsid w:val="002A725D"/>
    <w:rsid w:val="002B3CF0"/>
    <w:rsid w:val="002B4752"/>
    <w:rsid w:val="002D05DE"/>
    <w:rsid w:val="002D2CAA"/>
    <w:rsid w:val="002D3365"/>
    <w:rsid w:val="002D66DD"/>
    <w:rsid w:val="002E1EEF"/>
    <w:rsid w:val="002E2B62"/>
    <w:rsid w:val="00300C04"/>
    <w:rsid w:val="00302144"/>
    <w:rsid w:val="003105DF"/>
    <w:rsid w:val="00310D2E"/>
    <w:rsid w:val="00313A2E"/>
    <w:rsid w:val="00314DA9"/>
    <w:rsid w:val="00315206"/>
    <w:rsid w:val="00315314"/>
    <w:rsid w:val="003156F9"/>
    <w:rsid w:val="003216E8"/>
    <w:rsid w:val="0032564B"/>
    <w:rsid w:val="00325929"/>
    <w:rsid w:val="0032684C"/>
    <w:rsid w:val="003329F0"/>
    <w:rsid w:val="00334B12"/>
    <w:rsid w:val="00337DC5"/>
    <w:rsid w:val="003410A9"/>
    <w:rsid w:val="00342CC1"/>
    <w:rsid w:val="003444E4"/>
    <w:rsid w:val="003502D9"/>
    <w:rsid w:val="00353A20"/>
    <w:rsid w:val="0036363A"/>
    <w:rsid w:val="00363E35"/>
    <w:rsid w:val="00370E43"/>
    <w:rsid w:val="00383E86"/>
    <w:rsid w:val="0038403A"/>
    <w:rsid w:val="00384941"/>
    <w:rsid w:val="00393945"/>
    <w:rsid w:val="00393C34"/>
    <w:rsid w:val="0039453E"/>
    <w:rsid w:val="00394CAA"/>
    <w:rsid w:val="003A116A"/>
    <w:rsid w:val="003A5211"/>
    <w:rsid w:val="003A5E53"/>
    <w:rsid w:val="003A6B66"/>
    <w:rsid w:val="003B0C55"/>
    <w:rsid w:val="003B3C10"/>
    <w:rsid w:val="003B4B7C"/>
    <w:rsid w:val="003B5649"/>
    <w:rsid w:val="003B7674"/>
    <w:rsid w:val="003C279D"/>
    <w:rsid w:val="003C61E9"/>
    <w:rsid w:val="003D18F1"/>
    <w:rsid w:val="003D1A14"/>
    <w:rsid w:val="003D2DEB"/>
    <w:rsid w:val="003D64BA"/>
    <w:rsid w:val="003E3F6A"/>
    <w:rsid w:val="003F0D47"/>
    <w:rsid w:val="003F7283"/>
    <w:rsid w:val="003F744E"/>
    <w:rsid w:val="00401A25"/>
    <w:rsid w:val="004061E1"/>
    <w:rsid w:val="0041012A"/>
    <w:rsid w:val="00414774"/>
    <w:rsid w:val="00426E49"/>
    <w:rsid w:val="00427488"/>
    <w:rsid w:val="00433DF3"/>
    <w:rsid w:val="00434B12"/>
    <w:rsid w:val="00435088"/>
    <w:rsid w:val="004367DC"/>
    <w:rsid w:val="00436830"/>
    <w:rsid w:val="004405A0"/>
    <w:rsid w:val="00440B93"/>
    <w:rsid w:val="00450CF6"/>
    <w:rsid w:val="00450DE6"/>
    <w:rsid w:val="004526B6"/>
    <w:rsid w:val="00455D2F"/>
    <w:rsid w:val="00457B24"/>
    <w:rsid w:val="00474832"/>
    <w:rsid w:val="00474855"/>
    <w:rsid w:val="004823C6"/>
    <w:rsid w:val="00483DA4"/>
    <w:rsid w:val="004840AF"/>
    <w:rsid w:val="00486D44"/>
    <w:rsid w:val="004903ED"/>
    <w:rsid w:val="004957E5"/>
    <w:rsid w:val="00497411"/>
    <w:rsid w:val="004A759D"/>
    <w:rsid w:val="004A79EE"/>
    <w:rsid w:val="004B0CE6"/>
    <w:rsid w:val="004B16F5"/>
    <w:rsid w:val="004B7D82"/>
    <w:rsid w:val="004C205D"/>
    <w:rsid w:val="004D0396"/>
    <w:rsid w:val="004D04F8"/>
    <w:rsid w:val="004E159B"/>
    <w:rsid w:val="004E2495"/>
    <w:rsid w:val="004E2AE4"/>
    <w:rsid w:val="004E3706"/>
    <w:rsid w:val="004E5031"/>
    <w:rsid w:val="004E51F2"/>
    <w:rsid w:val="004F1FF3"/>
    <w:rsid w:val="004F3DD5"/>
    <w:rsid w:val="004F4A1A"/>
    <w:rsid w:val="00502631"/>
    <w:rsid w:val="0051052E"/>
    <w:rsid w:val="00510E6A"/>
    <w:rsid w:val="00516CA6"/>
    <w:rsid w:val="00520C43"/>
    <w:rsid w:val="0052103E"/>
    <w:rsid w:val="00523046"/>
    <w:rsid w:val="00523376"/>
    <w:rsid w:val="00524237"/>
    <w:rsid w:val="00524C2C"/>
    <w:rsid w:val="00530543"/>
    <w:rsid w:val="005352BB"/>
    <w:rsid w:val="00535F73"/>
    <w:rsid w:val="00541E26"/>
    <w:rsid w:val="00542590"/>
    <w:rsid w:val="005460C4"/>
    <w:rsid w:val="005468B5"/>
    <w:rsid w:val="00546B74"/>
    <w:rsid w:val="00573489"/>
    <w:rsid w:val="005735AB"/>
    <w:rsid w:val="005801AF"/>
    <w:rsid w:val="00585093"/>
    <w:rsid w:val="005862B5"/>
    <w:rsid w:val="00586CA7"/>
    <w:rsid w:val="00594615"/>
    <w:rsid w:val="005A1C54"/>
    <w:rsid w:val="005A510E"/>
    <w:rsid w:val="005A7F23"/>
    <w:rsid w:val="005B148B"/>
    <w:rsid w:val="005B1E77"/>
    <w:rsid w:val="005B746E"/>
    <w:rsid w:val="005B781A"/>
    <w:rsid w:val="005B79CB"/>
    <w:rsid w:val="005C0A3A"/>
    <w:rsid w:val="005C21A5"/>
    <w:rsid w:val="005C7978"/>
    <w:rsid w:val="005D07A3"/>
    <w:rsid w:val="005D0B93"/>
    <w:rsid w:val="005D3A9B"/>
    <w:rsid w:val="005D3B5C"/>
    <w:rsid w:val="005E1258"/>
    <w:rsid w:val="005E58B5"/>
    <w:rsid w:val="005F5B0C"/>
    <w:rsid w:val="005F5D05"/>
    <w:rsid w:val="005F5DCD"/>
    <w:rsid w:val="006000D9"/>
    <w:rsid w:val="006008B9"/>
    <w:rsid w:val="00604D03"/>
    <w:rsid w:val="006111D5"/>
    <w:rsid w:val="006219A2"/>
    <w:rsid w:val="00622D52"/>
    <w:rsid w:val="00622EBA"/>
    <w:rsid w:val="00622F64"/>
    <w:rsid w:val="00623438"/>
    <w:rsid w:val="0062656F"/>
    <w:rsid w:val="00632521"/>
    <w:rsid w:val="0063379F"/>
    <w:rsid w:val="00634B52"/>
    <w:rsid w:val="00640161"/>
    <w:rsid w:val="006403EE"/>
    <w:rsid w:val="00640470"/>
    <w:rsid w:val="00641F46"/>
    <w:rsid w:val="00643439"/>
    <w:rsid w:val="00644077"/>
    <w:rsid w:val="0064738E"/>
    <w:rsid w:val="006508AD"/>
    <w:rsid w:val="006541F9"/>
    <w:rsid w:val="00656CC4"/>
    <w:rsid w:val="00666480"/>
    <w:rsid w:val="00672A9C"/>
    <w:rsid w:val="00674338"/>
    <w:rsid w:val="0067577D"/>
    <w:rsid w:val="00675C55"/>
    <w:rsid w:val="00677CCC"/>
    <w:rsid w:val="00680B16"/>
    <w:rsid w:val="00685A70"/>
    <w:rsid w:val="00687E64"/>
    <w:rsid w:val="006910F3"/>
    <w:rsid w:val="006933D1"/>
    <w:rsid w:val="00693D0B"/>
    <w:rsid w:val="00696614"/>
    <w:rsid w:val="006A4D66"/>
    <w:rsid w:val="006A57C4"/>
    <w:rsid w:val="006A595A"/>
    <w:rsid w:val="006A7B1E"/>
    <w:rsid w:val="006B0130"/>
    <w:rsid w:val="006B11B5"/>
    <w:rsid w:val="006B38A3"/>
    <w:rsid w:val="006C28E7"/>
    <w:rsid w:val="006C3AB8"/>
    <w:rsid w:val="006C5774"/>
    <w:rsid w:val="006D4145"/>
    <w:rsid w:val="006D5458"/>
    <w:rsid w:val="006D7B14"/>
    <w:rsid w:val="006E2920"/>
    <w:rsid w:val="006F0727"/>
    <w:rsid w:val="006F2B3F"/>
    <w:rsid w:val="007021C8"/>
    <w:rsid w:val="0070229B"/>
    <w:rsid w:val="00707E76"/>
    <w:rsid w:val="00707EA6"/>
    <w:rsid w:val="00710DE0"/>
    <w:rsid w:val="00714510"/>
    <w:rsid w:val="00720585"/>
    <w:rsid w:val="007259CB"/>
    <w:rsid w:val="00726AE6"/>
    <w:rsid w:val="00733CF3"/>
    <w:rsid w:val="007373FA"/>
    <w:rsid w:val="00745364"/>
    <w:rsid w:val="00745725"/>
    <w:rsid w:val="0075397F"/>
    <w:rsid w:val="00753E3D"/>
    <w:rsid w:val="00755146"/>
    <w:rsid w:val="00755D98"/>
    <w:rsid w:val="00757712"/>
    <w:rsid w:val="007614ED"/>
    <w:rsid w:val="00764121"/>
    <w:rsid w:val="00767EB7"/>
    <w:rsid w:val="00770C6F"/>
    <w:rsid w:val="00770D3C"/>
    <w:rsid w:val="007803A7"/>
    <w:rsid w:val="00783CF9"/>
    <w:rsid w:val="0078668A"/>
    <w:rsid w:val="00791495"/>
    <w:rsid w:val="00796B78"/>
    <w:rsid w:val="007A4D85"/>
    <w:rsid w:val="007B39A4"/>
    <w:rsid w:val="007C475E"/>
    <w:rsid w:val="007C5C53"/>
    <w:rsid w:val="007E19BA"/>
    <w:rsid w:val="007E4C12"/>
    <w:rsid w:val="007E653C"/>
    <w:rsid w:val="007E78A7"/>
    <w:rsid w:val="007F29AD"/>
    <w:rsid w:val="00800168"/>
    <w:rsid w:val="008012E9"/>
    <w:rsid w:val="00801902"/>
    <w:rsid w:val="008027FB"/>
    <w:rsid w:val="008044B6"/>
    <w:rsid w:val="00807250"/>
    <w:rsid w:val="00815382"/>
    <w:rsid w:val="0082376F"/>
    <w:rsid w:val="008310B5"/>
    <w:rsid w:val="0083522C"/>
    <w:rsid w:val="0083540E"/>
    <w:rsid w:val="008355FB"/>
    <w:rsid w:val="00835814"/>
    <w:rsid w:val="00843C4F"/>
    <w:rsid w:val="00846935"/>
    <w:rsid w:val="008506F0"/>
    <w:rsid w:val="008532ED"/>
    <w:rsid w:val="00853B52"/>
    <w:rsid w:val="00860A46"/>
    <w:rsid w:val="00861E90"/>
    <w:rsid w:val="00863B0D"/>
    <w:rsid w:val="00867AAB"/>
    <w:rsid w:val="008756A3"/>
    <w:rsid w:val="00876B5A"/>
    <w:rsid w:val="00876C5F"/>
    <w:rsid w:val="00880D8B"/>
    <w:rsid w:val="00881679"/>
    <w:rsid w:val="00890DBD"/>
    <w:rsid w:val="00892C59"/>
    <w:rsid w:val="0089572D"/>
    <w:rsid w:val="008A5AF0"/>
    <w:rsid w:val="008B234F"/>
    <w:rsid w:val="008C0C27"/>
    <w:rsid w:val="008C3791"/>
    <w:rsid w:val="008C4746"/>
    <w:rsid w:val="008C7BB6"/>
    <w:rsid w:val="008D63F4"/>
    <w:rsid w:val="008E25B0"/>
    <w:rsid w:val="008E3F2E"/>
    <w:rsid w:val="008E47DE"/>
    <w:rsid w:val="008F34FB"/>
    <w:rsid w:val="008F3729"/>
    <w:rsid w:val="008F4EE9"/>
    <w:rsid w:val="008F7935"/>
    <w:rsid w:val="00903699"/>
    <w:rsid w:val="009057E1"/>
    <w:rsid w:val="00905814"/>
    <w:rsid w:val="00913B74"/>
    <w:rsid w:val="00917435"/>
    <w:rsid w:val="0092298C"/>
    <w:rsid w:val="00930120"/>
    <w:rsid w:val="0093483E"/>
    <w:rsid w:val="00934F82"/>
    <w:rsid w:val="00955465"/>
    <w:rsid w:val="00964DF9"/>
    <w:rsid w:val="00965073"/>
    <w:rsid w:val="009658BB"/>
    <w:rsid w:val="009679AE"/>
    <w:rsid w:val="0097227B"/>
    <w:rsid w:val="009728B4"/>
    <w:rsid w:val="00983067"/>
    <w:rsid w:val="0098737A"/>
    <w:rsid w:val="009950ED"/>
    <w:rsid w:val="0099661F"/>
    <w:rsid w:val="009A446D"/>
    <w:rsid w:val="009A4DA5"/>
    <w:rsid w:val="009A732C"/>
    <w:rsid w:val="009B06AD"/>
    <w:rsid w:val="009B465E"/>
    <w:rsid w:val="009B7418"/>
    <w:rsid w:val="009C24B5"/>
    <w:rsid w:val="009E233B"/>
    <w:rsid w:val="009E5339"/>
    <w:rsid w:val="009E5532"/>
    <w:rsid w:val="009E69A5"/>
    <w:rsid w:val="009F18CC"/>
    <w:rsid w:val="009F18F9"/>
    <w:rsid w:val="009F3F6F"/>
    <w:rsid w:val="009F622D"/>
    <w:rsid w:val="00A011A3"/>
    <w:rsid w:val="00A07AC7"/>
    <w:rsid w:val="00A10639"/>
    <w:rsid w:val="00A15DB5"/>
    <w:rsid w:val="00A172B6"/>
    <w:rsid w:val="00A17CC7"/>
    <w:rsid w:val="00A31532"/>
    <w:rsid w:val="00A3265B"/>
    <w:rsid w:val="00A3290F"/>
    <w:rsid w:val="00A33A58"/>
    <w:rsid w:val="00A36574"/>
    <w:rsid w:val="00A52E48"/>
    <w:rsid w:val="00A5379C"/>
    <w:rsid w:val="00A60F59"/>
    <w:rsid w:val="00A6297B"/>
    <w:rsid w:val="00A670F2"/>
    <w:rsid w:val="00A81501"/>
    <w:rsid w:val="00A8172D"/>
    <w:rsid w:val="00A85013"/>
    <w:rsid w:val="00A861E6"/>
    <w:rsid w:val="00A96452"/>
    <w:rsid w:val="00A975C0"/>
    <w:rsid w:val="00AA0FB5"/>
    <w:rsid w:val="00AA2B16"/>
    <w:rsid w:val="00AA5D03"/>
    <w:rsid w:val="00AB2D15"/>
    <w:rsid w:val="00AB56EB"/>
    <w:rsid w:val="00AB6064"/>
    <w:rsid w:val="00AB6427"/>
    <w:rsid w:val="00AC2CCD"/>
    <w:rsid w:val="00AD0065"/>
    <w:rsid w:val="00AD1E15"/>
    <w:rsid w:val="00AD249E"/>
    <w:rsid w:val="00AD381A"/>
    <w:rsid w:val="00AD4807"/>
    <w:rsid w:val="00AD68BE"/>
    <w:rsid w:val="00AF0E1D"/>
    <w:rsid w:val="00AF1838"/>
    <w:rsid w:val="00AF5B00"/>
    <w:rsid w:val="00AF71B3"/>
    <w:rsid w:val="00B0734E"/>
    <w:rsid w:val="00B07B4D"/>
    <w:rsid w:val="00B17804"/>
    <w:rsid w:val="00B2017E"/>
    <w:rsid w:val="00B22AF3"/>
    <w:rsid w:val="00B3721B"/>
    <w:rsid w:val="00B56B62"/>
    <w:rsid w:val="00B570CD"/>
    <w:rsid w:val="00B60BD0"/>
    <w:rsid w:val="00B62738"/>
    <w:rsid w:val="00B630A3"/>
    <w:rsid w:val="00B63878"/>
    <w:rsid w:val="00B65BE9"/>
    <w:rsid w:val="00B91231"/>
    <w:rsid w:val="00B91AFE"/>
    <w:rsid w:val="00B92A2D"/>
    <w:rsid w:val="00B92DCC"/>
    <w:rsid w:val="00B94CC5"/>
    <w:rsid w:val="00B95FA8"/>
    <w:rsid w:val="00B97EE2"/>
    <w:rsid w:val="00BA2CEA"/>
    <w:rsid w:val="00BA5B0D"/>
    <w:rsid w:val="00BA7E68"/>
    <w:rsid w:val="00BB3776"/>
    <w:rsid w:val="00BC2032"/>
    <w:rsid w:val="00BD08F2"/>
    <w:rsid w:val="00BD5BFB"/>
    <w:rsid w:val="00BE41FA"/>
    <w:rsid w:val="00BE5058"/>
    <w:rsid w:val="00BE5C22"/>
    <w:rsid w:val="00BE7710"/>
    <w:rsid w:val="00BF0B03"/>
    <w:rsid w:val="00BF7F48"/>
    <w:rsid w:val="00C13543"/>
    <w:rsid w:val="00C253E5"/>
    <w:rsid w:val="00C345B3"/>
    <w:rsid w:val="00C362DB"/>
    <w:rsid w:val="00C45BFD"/>
    <w:rsid w:val="00C564EC"/>
    <w:rsid w:val="00C60DDC"/>
    <w:rsid w:val="00C6622F"/>
    <w:rsid w:val="00C7066E"/>
    <w:rsid w:val="00C759B0"/>
    <w:rsid w:val="00C8112B"/>
    <w:rsid w:val="00C821BD"/>
    <w:rsid w:val="00C83EB5"/>
    <w:rsid w:val="00C91724"/>
    <w:rsid w:val="00C9184A"/>
    <w:rsid w:val="00C91A6D"/>
    <w:rsid w:val="00C96A70"/>
    <w:rsid w:val="00CA46F5"/>
    <w:rsid w:val="00CA65D0"/>
    <w:rsid w:val="00CA7B86"/>
    <w:rsid w:val="00CB0146"/>
    <w:rsid w:val="00CB3A21"/>
    <w:rsid w:val="00CB7F00"/>
    <w:rsid w:val="00CC3060"/>
    <w:rsid w:val="00CC6B49"/>
    <w:rsid w:val="00CC6EA9"/>
    <w:rsid w:val="00CD031E"/>
    <w:rsid w:val="00CD2803"/>
    <w:rsid w:val="00CD6235"/>
    <w:rsid w:val="00CD78DC"/>
    <w:rsid w:val="00CE1C20"/>
    <w:rsid w:val="00CE7E9F"/>
    <w:rsid w:val="00D00B1F"/>
    <w:rsid w:val="00D015E9"/>
    <w:rsid w:val="00D03A2D"/>
    <w:rsid w:val="00D10425"/>
    <w:rsid w:val="00D10DE4"/>
    <w:rsid w:val="00D1310F"/>
    <w:rsid w:val="00D153E7"/>
    <w:rsid w:val="00D30AA8"/>
    <w:rsid w:val="00D33826"/>
    <w:rsid w:val="00D4002E"/>
    <w:rsid w:val="00D4258D"/>
    <w:rsid w:val="00D43B2C"/>
    <w:rsid w:val="00D46372"/>
    <w:rsid w:val="00D47A77"/>
    <w:rsid w:val="00D531A5"/>
    <w:rsid w:val="00D57D14"/>
    <w:rsid w:val="00D606A8"/>
    <w:rsid w:val="00D61D5A"/>
    <w:rsid w:val="00D63F1A"/>
    <w:rsid w:val="00D700BF"/>
    <w:rsid w:val="00D70689"/>
    <w:rsid w:val="00D710A1"/>
    <w:rsid w:val="00D71B9D"/>
    <w:rsid w:val="00D77C6D"/>
    <w:rsid w:val="00D846E6"/>
    <w:rsid w:val="00D84CA3"/>
    <w:rsid w:val="00D85194"/>
    <w:rsid w:val="00D90766"/>
    <w:rsid w:val="00D93DC4"/>
    <w:rsid w:val="00D95B7E"/>
    <w:rsid w:val="00D95CF3"/>
    <w:rsid w:val="00D960D0"/>
    <w:rsid w:val="00DA0163"/>
    <w:rsid w:val="00DA08F3"/>
    <w:rsid w:val="00DA42DA"/>
    <w:rsid w:val="00DA7129"/>
    <w:rsid w:val="00DB102A"/>
    <w:rsid w:val="00DB2AA9"/>
    <w:rsid w:val="00DB51CF"/>
    <w:rsid w:val="00DC2E4B"/>
    <w:rsid w:val="00DC41D8"/>
    <w:rsid w:val="00DC61A8"/>
    <w:rsid w:val="00DD4EC4"/>
    <w:rsid w:val="00DD502B"/>
    <w:rsid w:val="00DD5636"/>
    <w:rsid w:val="00DE6CD8"/>
    <w:rsid w:val="00DE7C8D"/>
    <w:rsid w:val="00E06343"/>
    <w:rsid w:val="00E103CF"/>
    <w:rsid w:val="00E120CD"/>
    <w:rsid w:val="00E12256"/>
    <w:rsid w:val="00E129F4"/>
    <w:rsid w:val="00E1757D"/>
    <w:rsid w:val="00E20BC4"/>
    <w:rsid w:val="00E2330A"/>
    <w:rsid w:val="00E30359"/>
    <w:rsid w:val="00E3393D"/>
    <w:rsid w:val="00E360E4"/>
    <w:rsid w:val="00E453DD"/>
    <w:rsid w:val="00E464E9"/>
    <w:rsid w:val="00E5018C"/>
    <w:rsid w:val="00E5525F"/>
    <w:rsid w:val="00E55B56"/>
    <w:rsid w:val="00E630D3"/>
    <w:rsid w:val="00E63A6E"/>
    <w:rsid w:val="00E63CB9"/>
    <w:rsid w:val="00E647D0"/>
    <w:rsid w:val="00E6728F"/>
    <w:rsid w:val="00E7376E"/>
    <w:rsid w:val="00E73A47"/>
    <w:rsid w:val="00E73A99"/>
    <w:rsid w:val="00E80A30"/>
    <w:rsid w:val="00E84367"/>
    <w:rsid w:val="00E8687A"/>
    <w:rsid w:val="00E878B5"/>
    <w:rsid w:val="00E92474"/>
    <w:rsid w:val="00E97F99"/>
    <w:rsid w:val="00EA112D"/>
    <w:rsid w:val="00EA11F5"/>
    <w:rsid w:val="00EA7C2A"/>
    <w:rsid w:val="00EB18A6"/>
    <w:rsid w:val="00EB3ACE"/>
    <w:rsid w:val="00EC1924"/>
    <w:rsid w:val="00EC1B40"/>
    <w:rsid w:val="00EC564A"/>
    <w:rsid w:val="00EC6F3F"/>
    <w:rsid w:val="00ED0D13"/>
    <w:rsid w:val="00ED33CB"/>
    <w:rsid w:val="00EE3EBB"/>
    <w:rsid w:val="00EF4446"/>
    <w:rsid w:val="00F03C8E"/>
    <w:rsid w:val="00F0412D"/>
    <w:rsid w:val="00F06307"/>
    <w:rsid w:val="00F11ADB"/>
    <w:rsid w:val="00F11F4C"/>
    <w:rsid w:val="00F209D8"/>
    <w:rsid w:val="00F22E7E"/>
    <w:rsid w:val="00F232F7"/>
    <w:rsid w:val="00F272BB"/>
    <w:rsid w:val="00F31EC1"/>
    <w:rsid w:val="00F323AB"/>
    <w:rsid w:val="00F417AA"/>
    <w:rsid w:val="00F50928"/>
    <w:rsid w:val="00F52896"/>
    <w:rsid w:val="00F600D6"/>
    <w:rsid w:val="00F60324"/>
    <w:rsid w:val="00F640A2"/>
    <w:rsid w:val="00F6505B"/>
    <w:rsid w:val="00F65D2C"/>
    <w:rsid w:val="00F71D9E"/>
    <w:rsid w:val="00F73ACD"/>
    <w:rsid w:val="00F75481"/>
    <w:rsid w:val="00F77695"/>
    <w:rsid w:val="00F8119D"/>
    <w:rsid w:val="00F812CF"/>
    <w:rsid w:val="00F82AC5"/>
    <w:rsid w:val="00F90FDD"/>
    <w:rsid w:val="00F93C34"/>
    <w:rsid w:val="00F9750A"/>
    <w:rsid w:val="00FA1955"/>
    <w:rsid w:val="00FA494A"/>
    <w:rsid w:val="00FA7505"/>
    <w:rsid w:val="00FB14AC"/>
    <w:rsid w:val="00FB3C40"/>
    <w:rsid w:val="00FB44E3"/>
    <w:rsid w:val="00FC30DE"/>
    <w:rsid w:val="00FE147F"/>
    <w:rsid w:val="00FE1637"/>
    <w:rsid w:val="00FE7B4A"/>
    <w:rsid w:val="00FF0987"/>
    <w:rsid w:val="01311D17"/>
    <w:rsid w:val="0156392B"/>
    <w:rsid w:val="019363A5"/>
    <w:rsid w:val="01CB57E3"/>
    <w:rsid w:val="01F524FA"/>
    <w:rsid w:val="020E7460"/>
    <w:rsid w:val="020F66C8"/>
    <w:rsid w:val="02185DB8"/>
    <w:rsid w:val="024535A0"/>
    <w:rsid w:val="025B47A6"/>
    <w:rsid w:val="02873E79"/>
    <w:rsid w:val="02AB1A6E"/>
    <w:rsid w:val="02B00438"/>
    <w:rsid w:val="02BC3426"/>
    <w:rsid w:val="02ED7EC0"/>
    <w:rsid w:val="03352478"/>
    <w:rsid w:val="035B0AD2"/>
    <w:rsid w:val="03737554"/>
    <w:rsid w:val="03792771"/>
    <w:rsid w:val="0402341E"/>
    <w:rsid w:val="040F20B8"/>
    <w:rsid w:val="04BB366A"/>
    <w:rsid w:val="04F76184"/>
    <w:rsid w:val="04FA1DF1"/>
    <w:rsid w:val="05112BAE"/>
    <w:rsid w:val="053242B0"/>
    <w:rsid w:val="0540348F"/>
    <w:rsid w:val="05576AB2"/>
    <w:rsid w:val="05AC08C5"/>
    <w:rsid w:val="05B66C5C"/>
    <w:rsid w:val="05D34ED9"/>
    <w:rsid w:val="06177CAA"/>
    <w:rsid w:val="064B5F70"/>
    <w:rsid w:val="067067B4"/>
    <w:rsid w:val="06D753FF"/>
    <w:rsid w:val="06DF0964"/>
    <w:rsid w:val="070B199D"/>
    <w:rsid w:val="07363559"/>
    <w:rsid w:val="0745401F"/>
    <w:rsid w:val="0753050D"/>
    <w:rsid w:val="07A13BD2"/>
    <w:rsid w:val="07D71108"/>
    <w:rsid w:val="07F27D26"/>
    <w:rsid w:val="07F52030"/>
    <w:rsid w:val="081718E1"/>
    <w:rsid w:val="081C59BC"/>
    <w:rsid w:val="082A37FC"/>
    <w:rsid w:val="088274F0"/>
    <w:rsid w:val="08DD333D"/>
    <w:rsid w:val="09117AEE"/>
    <w:rsid w:val="09207DC5"/>
    <w:rsid w:val="093223FF"/>
    <w:rsid w:val="093935BD"/>
    <w:rsid w:val="09536BFA"/>
    <w:rsid w:val="096A62B8"/>
    <w:rsid w:val="09D423CE"/>
    <w:rsid w:val="0A121772"/>
    <w:rsid w:val="0A1F7F92"/>
    <w:rsid w:val="0A7F645E"/>
    <w:rsid w:val="0A823E5D"/>
    <w:rsid w:val="0A88406E"/>
    <w:rsid w:val="0A8E1F88"/>
    <w:rsid w:val="0AA03A6A"/>
    <w:rsid w:val="0ABE2142"/>
    <w:rsid w:val="0ACC00CB"/>
    <w:rsid w:val="0AD02706"/>
    <w:rsid w:val="0B3A26C7"/>
    <w:rsid w:val="0BB91287"/>
    <w:rsid w:val="0BBA5BBB"/>
    <w:rsid w:val="0BF10D96"/>
    <w:rsid w:val="0C1F3FD9"/>
    <w:rsid w:val="0C4F6662"/>
    <w:rsid w:val="0C9B4317"/>
    <w:rsid w:val="0CC9374C"/>
    <w:rsid w:val="0CE16C3F"/>
    <w:rsid w:val="0CE54A76"/>
    <w:rsid w:val="0D1B24D2"/>
    <w:rsid w:val="0D225F92"/>
    <w:rsid w:val="0D3061B9"/>
    <w:rsid w:val="0D4C7ED9"/>
    <w:rsid w:val="0D572DAF"/>
    <w:rsid w:val="0DF208A8"/>
    <w:rsid w:val="0E207AF2"/>
    <w:rsid w:val="0E237112"/>
    <w:rsid w:val="0E403163"/>
    <w:rsid w:val="0E697BA7"/>
    <w:rsid w:val="0E794A78"/>
    <w:rsid w:val="0E9D7796"/>
    <w:rsid w:val="0EDB7766"/>
    <w:rsid w:val="0F091F80"/>
    <w:rsid w:val="0F212AE0"/>
    <w:rsid w:val="0F6D714F"/>
    <w:rsid w:val="0FEA7D4B"/>
    <w:rsid w:val="100625C1"/>
    <w:rsid w:val="102F6038"/>
    <w:rsid w:val="103F5AD3"/>
    <w:rsid w:val="10813DDF"/>
    <w:rsid w:val="10C16B3D"/>
    <w:rsid w:val="10D771A2"/>
    <w:rsid w:val="10DA0D37"/>
    <w:rsid w:val="10E82315"/>
    <w:rsid w:val="11421EFE"/>
    <w:rsid w:val="11445362"/>
    <w:rsid w:val="11483F23"/>
    <w:rsid w:val="11684C0A"/>
    <w:rsid w:val="11825B42"/>
    <w:rsid w:val="11BB67CE"/>
    <w:rsid w:val="11F46CB7"/>
    <w:rsid w:val="120958DA"/>
    <w:rsid w:val="12130123"/>
    <w:rsid w:val="125E79DB"/>
    <w:rsid w:val="126B26FB"/>
    <w:rsid w:val="12841A07"/>
    <w:rsid w:val="128B34E4"/>
    <w:rsid w:val="129E3532"/>
    <w:rsid w:val="12E0296B"/>
    <w:rsid w:val="12E8668A"/>
    <w:rsid w:val="13162A0E"/>
    <w:rsid w:val="1319053E"/>
    <w:rsid w:val="134204B0"/>
    <w:rsid w:val="136E2305"/>
    <w:rsid w:val="140A5F01"/>
    <w:rsid w:val="14292D22"/>
    <w:rsid w:val="148C48EA"/>
    <w:rsid w:val="14AD689B"/>
    <w:rsid w:val="14B5081B"/>
    <w:rsid w:val="14ED6EE5"/>
    <w:rsid w:val="151363E3"/>
    <w:rsid w:val="15284C44"/>
    <w:rsid w:val="152A0830"/>
    <w:rsid w:val="155B5F95"/>
    <w:rsid w:val="15A92022"/>
    <w:rsid w:val="15DC452F"/>
    <w:rsid w:val="15E96C0C"/>
    <w:rsid w:val="15EA37F3"/>
    <w:rsid w:val="162130D2"/>
    <w:rsid w:val="16257997"/>
    <w:rsid w:val="16A94F8C"/>
    <w:rsid w:val="16EA1853"/>
    <w:rsid w:val="170D5E41"/>
    <w:rsid w:val="171278F8"/>
    <w:rsid w:val="17194A4D"/>
    <w:rsid w:val="17254622"/>
    <w:rsid w:val="174265B1"/>
    <w:rsid w:val="1754455F"/>
    <w:rsid w:val="17651E96"/>
    <w:rsid w:val="17817A9C"/>
    <w:rsid w:val="17B22822"/>
    <w:rsid w:val="17B60D70"/>
    <w:rsid w:val="17EB50C0"/>
    <w:rsid w:val="180675B2"/>
    <w:rsid w:val="18720F55"/>
    <w:rsid w:val="18754AF9"/>
    <w:rsid w:val="18950FB9"/>
    <w:rsid w:val="18A50F44"/>
    <w:rsid w:val="18BA28C7"/>
    <w:rsid w:val="18FE3DE8"/>
    <w:rsid w:val="1906512C"/>
    <w:rsid w:val="190C5EC1"/>
    <w:rsid w:val="19164441"/>
    <w:rsid w:val="1949577A"/>
    <w:rsid w:val="194B4A92"/>
    <w:rsid w:val="197813E3"/>
    <w:rsid w:val="197D2028"/>
    <w:rsid w:val="19841A3B"/>
    <w:rsid w:val="198527CD"/>
    <w:rsid w:val="198932F6"/>
    <w:rsid w:val="199F18C8"/>
    <w:rsid w:val="19F02AE1"/>
    <w:rsid w:val="19FF501F"/>
    <w:rsid w:val="1A280E59"/>
    <w:rsid w:val="1A441223"/>
    <w:rsid w:val="1A844933"/>
    <w:rsid w:val="1A9B3FB9"/>
    <w:rsid w:val="1AD30E8C"/>
    <w:rsid w:val="1AEC7925"/>
    <w:rsid w:val="1AF11096"/>
    <w:rsid w:val="1B040045"/>
    <w:rsid w:val="1B0F1566"/>
    <w:rsid w:val="1B2A282B"/>
    <w:rsid w:val="1B440047"/>
    <w:rsid w:val="1B5E37E9"/>
    <w:rsid w:val="1B944BCC"/>
    <w:rsid w:val="1BA23DDB"/>
    <w:rsid w:val="1BB046C8"/>
    <w:rsid w:val="1BB70E42"/>
    <w:rsid w:val="1BCA7AB6"/>
    <w:rsid w:val="1BED3F62"/>
    <w:rsid w:val="1BF331F1"/>
    <w:rsid w:val="1C436203"/>
    <w:rsid w:val="1C5F6866"/>
    <w:rsid w:val="1C6156F1"/>
    <w:rsid w:val="1C7C02F6"/>
    <w:rsid w:val="1C834A92"/>
    <w:rsid w:val="1CAE0268"/>
    <w:rsid w:val="1CC65C36"/>
    <w:rsid w:val="1D5F0955"/>
    <w:rsid w:val="1D7B31E3"/>
    <w:rsid w:val="1D923FC9"/>
    <w:rsid w:val="1D970DAC"/>
    <w:rsid w:val="1DEC38BF"/>
    <w:rsid w:val="1DF60F39"/>
    <w:rsid w:val="1E021D1E"/>
    <w:rsid w:val="1E0221CE"/>
    <w:rsid w:val="1E456960"/>
    <w:rsid w:val="1E5F672D"/>
    <w:rsid w:val="1E665040"/>
    <w:rsid w:val="1E9A0ACE"/>
    <w:rsid w:val="1EE630EC"/>
    <w:rsid w:val="1F2F011F"/>
    <w:rsid w:val="1F380E7F"/>
    <w:rsid w:val="1FA6004B"/>
    <w:rsid w:val="1FBD796F"/>
    <w:rsid w:val="1FD11D03"/>
    <w:rsid w:val="1FF22678"/>
    <w:rsid w:val="1FFB37C4"/>
    <w:rsid w:val="205E303E"/>
    <w:rsid w:val="20605D1D"/>
    <w:rsid w:val="209853DE"/>
    <w:rsid w:val="20BF397E"/>
    <w:rsid w:val="21020207"/>
    <w:rsid w:val="21292995"/>
    <w:rsid w:val="215D04AF"/>
    <w:rsid w:val="21B067E3"/>
    <w:rsid w:val="220D53A6"/>
    <w:rsid w:val="222E6856"/>
    <w:rsid w:val="223207CB"/>
    <w:rsid w:val="22407BB4"/>
    <w:rsid w:val="22441CD7"/>
    <w:rsid w:val="224F3027"/>
    <w:rsid w:val="22516E17"/>
    <w:rsid w:val="226225B1"/>
    <w:rsid w:val="227D47FB"/>
    <w:rsid w:val="22B24603"/>
    <w:rsid w:val="22B86878"/>
    <w:rsid w:val="23340C3F"/>
    <w:rsid w:val="23566F63"/>
    <w:rsid w:val="236956B6"/>
    <w:rsid w:val="23B3311D"/>
    <w:rsid w:val="23CF0EA3"/>
    <w:rsid w:val="24155071"/>
    <w:rsid w:val="24172B97"/>
    <w:rsid w:val="24471E42"/>
    <w:rsid w:val="248D647C"/>
    <w:rsid w:val="24A9374C"/>
    <w:rsid w:val="24D37606"/>
    <w:rsid w:val="24D5202A"/>
    <w:rsid w:val="25652500"/>
    <w:rsid w:val="25666E1C"/>
    <w:rsid w:val="25697CA0"/>
    <w:rsid w:val="25BD731F"/>
    <w:rsid w:val="25DF1F6E"/>
    <w:rsid w:val="25EC52DD"/>
    <w:rsid w:val="25EC7C23"/>
    <w:rsid w:val="25F20E2C"/>
    <w:rsid w:val="26176E7E"/>
    <w:rsid w:val="266A34A0"/>
    <w:rsid w:val="266F0C71"/>
    <w:rsid w:val="26BD6AF4"/>
    <w:rsid w:val="26F927CB"/>
    <w:rsid w:val="26F9745C"/>
    <w:rsid w:val="27007A46"/>
    <w:rsid w:val="27224C94"/>
    <w:rsid w:val="27974B5D"/>
    <w:rsid w:val="279D47D7"/>
    <w:rsid w:val="27AA2A09"/>
    <w:rsid w:val="27BB3E1D"/>
    <w:rsid w:val="27E27A91"/>
    <w:rsid w:val="27E9110B"/>
    <w:rsid w:val="285D0854"/>
    <w:rsid w:val="28944797"/>
    <w:rsid w:val="28A236DD"/>
    <w:rsid w:val="28EC7C6E"/>
    <w:rsid w:val="28F6142A"/>
    <w:rsid w:val="290542F7"/>
    <w:rsid w:val="295768C2"/>
    <w:rsid w:val="29E85A21"/>
    <w:rsid w:val="2A135BAE"/>
    <w:rsid w:val="2A1C7A6A"/>
    <w:rsid w:val="2A403A3A"/>
    <w:rsid w:val="2A9036A3"/>
    <w:rsid w:val="2AAA6E0B"/>
    <w:rsid w:val="2AC02BE6"/>
    <w:rsid w:val="2ADD16DE"/>
    <w:rsid w:val="2AF60F8C"/>
    <w:rsid w:val="2B27276C"/>
    <w:rsid w:val="2B275FC8"/>
    <w:rsid w:val="2B4F33D6"/>
    <w:rsid w:val="2B7801A2"/>
    <w:rsid w:val="2BA70F21"/>
    <w:rsid w:val="2BC41976"/>
    <w:rsid w:val="2BE84605"/>
    <w:rsid w:val="2C196932"/>
    <w:rsid w:val="2C225AE6"/>
    <w:rsid w:val="2C5310EB"/>
    <w:rsid w:val="2C5F1A25"/>
    <w:rsid w:val="2C86361D"/>
    <w:rsid w:val="2CDD45D8"/>
    <w:rsid w:val="2CE45275"/>
    <w:rsid w:val="2CF27CFD"/>
    <w:rsid w:val="2D155948"/>
    <w:rsid w:val="2D780243"/>
    <w:rsid w:val="2D830AA2"/>
    <w:rsid w:val="2D90560B"/>
    <w:rsid w:val="2DC03087"/>
    <w:rsid w:val="2DE94CCA"/>
    <w:rsid w:val="2DEB1EE9"/>
    <w:rsid w:val="2DF812D0"/>
    <w:rsid w:val="2DF87F84"/>
    <w:rsid w:val="2E8821DD"/>
    <w:rsid w:val="2ED022C0"/>
    <w:rsid w:val="2EFB4C19"/>
    <w:rsid w:val="2F03094F"/>
    <w:rsid w:val="2F133E6D"/>
    <w:rsid w:val="2F154579"/>
    <w:rsid w:val="2F5534CA"/>
    <w:rsid w:val="2F6A7321"/>
    <w:rsid w:val="2F96342A"/>
    <w:rsid w:val="2FE5062F"/>
    <w:rsid w:val="30270FAC"/>
    <w:rsid w:val="30420BCE"/>
    <w:rsid w:val="304A6C89"/>
    <w:rsid w:val="30506E41"/>
    <w:rsid w:val="305D649A"/>
    <w:rsid w:val="3062694E"/>
    <w:rsid w:val="30632358"/>
    <w:rsid w:val="307A1DAF"/>
    <w:rsid w:val="309D5428"/>
    <w:rsid w:val="30AD5D4C"/>
    <w:rsid w:val="30BC64FF"/>
    <w:rsid w:val="30CB43BA"/>
    <w:rsid w:val="30DB76A6"/>
    <w:rsid w:val="30E93593"/>
    <w:rsid w:val="31B54AD4"/>
    <w:rsid w:val="31E5120A"/>
    <w:rsid w:val="32140715"/>
    <w:rsid w:val="3218750B"/>
    <w:rsid w:val="323029BF"/>
    <w:rsid w:val="32604096"/>
    <w:rsid w:val="330D3F3D"/>
    <w:rsid w:val="3392458F"/>
    <w:rsid w:val="33B40D33"/>
    <w:rsid w:val="33E06439"/>
    <w:rsid w:val="340D09F5"/>
    <w:rsid w:val="3465138B"/>
    <w:rsid w:val="346A63D7"/>
    <w:rsid w:val="349D0E96"/>
    <w:rsid w:val="34A90091"/>
    <w:rsid w:val="34B12FE1"/>
    <w:rsid w:val="34D11277"/>
    <w:rsid w:val="34ED48F1"/>
    <w:rsid w:val="35207B46"/>
    <w:rsid w:val="35443425"/>
    <w:rsid w:val="354F2251"/>
    <w:rsid w:val="355336AB"/>
    <w:rsid w:val="355B5B6B"/>
    <w:rsid w:val="35616BB8"/>
    <w:rsid w:val="35E06BC6"/>
    <w:rsid w:val="35F86203"/>
    <w:rsid w:val="36095280"/>
    <w:rsid w:val="36260A17"/>
    <w:rsid w:val="363E705B"/>
    <w:rsid w:val="36507A84"/>
    <w:rsid w:val="3660007A"/>
    <w:rsid w:val="36833229"/>
    <w:rsid w:val="36837AC6"/>
    <w:rsid w:val="36980DB6"/>
    <w:rsid w:val="369A1816"/>
    <w:rsid w:val="36A858D0"/>
    <w:rsid w:val="36B74371"/>
    <w:rsid w:val="37040D59"/>
    <w:rsid w:val="37044258"/>
    <w:rsid w:val="3711438B"/>
    <w:rsid w:val="372B2506"/>
    <w:rsid w:val="372E08F8"/>
    <w:rsid w:val="37841E99"/>
    <w:rsid w:val="37C76ECA"/>
    <w:rsid w:val="37D13AC8"/>
    <w:rsid w:val="38136735"/>
    <w:rsid w:val="38417454"/>
    <w:rsid w:val="38A77ABA"/>
    <w:rsid w:val="38F61D29"/>
    <w:rsid w:val="38FA1690"/>
    <w:rsid w:val="39785D15"/>
    <w:rsid w:val="39881FEF"/>
    <w:rsid w:val="399A6EF0"/>
    <w:rsid w:val="39AD07D1"/>
    <w:rsid w:val="39B068F6"/>
    <w:rsid w:val="39DC331E"/>
    <w:rsid w:val="3A361470"/>
    <w:rsid w:val="3A415794"/>
    <w:rsid w:val="3A7E05FB"/>
    <w:rsid w:val="3A9B75E1"/>
    <w:rsid w:val="3AC9558E"/>
    <w:rsid w:val="3AE2436F"/>
    <w:rsid w:val="3AFE371B"/>
    <w:rsid w:val="3AFF1218"/>
    <w:rsid w:val="3B0A1C96"/>
    <w:rsid w:val="3B172E31"/>
    <w:rsid w:val="3B295232"/>
    <w:rsid w:val="3B2F35E9"/>
    <w:rsid w:val="3B49752D"/>
    <w:rsid w:val="3B584C08"/>
    <w:rsid w:val="3B645151"/>
    <w:rsid w:val="3B787F9F"/>
    <w:rsid w:val="3B91511A"/>
    <w:rsid w:val="3BB96CBD"/>
    <w:rsid w:val="3BE2085E"/>
    <w:rsid w:val="3BE43509"/>
    <w:rsid w:val="3BF176A1"/>
    <w:rsid w:val="3C201F8F"/>
    <w:rsid w:val="3C7710CF"/>
    <w:rsid w:val="3CB20107"/>
    <w:rsid w:val="3CC33964"/>
    <w:rsid w:val="3D1B3AA0"/>
    <w:rsid w:val="3D1C5243"/>
    <w:rsid w:val="3D2C1009"/>
    <w:rsid w:val="3D4D57EC"/>
    <w:rsid w:val="3D7E38B7"/>
    <w:rsid w:val="3DB83EDE"/>
    <w:rsid w:val="3DC34F7E"/>
    <w:rsid w:val="3E1003DF"/>
    <w:rsid w:val="3E444A9E"/>
    <w:rsid w:val="3E493011"/>
    <w:rsid w:val="3E674E5D"/>
    <w:rsid w:val="3E7F79E6"/>
    <w:rsid w:val="3E9E6A5A"/>
    <w:rsid w:val="3F0004C8"/>
    <w:rsid w:val="3F6535DF"/>
    <w:rsid w:val="3F733903"/>
    <w:rsid w:val="3F842F31"/>
    <w:rsid w:val="3F953CC8"/>
    <w:rsid w:val="3F980C06"/>
    <w:rsid w:val="3FBD7045"/>
    <w:rsid w:val="3FC673CC"/>
    <w:rsid w:val="400D7ADD"/>
    <w:rsid w:val="40112738"/>
    <w:rsid w:val="401F365A"/>
    <w:rsid w:val="40290311"/>
    <w:rsid w:val="403C2FDB"/>
    <w:rsid w:val="407231D7"/>
    <w:rsid w:val="40774CE1"/>
    <w:rsid w:val="4094592D"/>
    <w:rsid w:val="40CC073B"/>
    <w:rsid w:val="410628E5"/>
    <w:rsid w:val="41190741"/>
    <w:rsid w:val="41582991"/>
    <w:rsid w:val="417A291D"/>
    <w:rsid w:val="417C720B"/>
    <w:rsid w:val="41AF0685"/>
    <w:rsid w:val="41F6135E"/>
    <w:rsid w:val="420A69B5"/>
    <w:rsid w:val="425D3BF4"/>
    <w:rsid w:val="42BD4FC3"/>
    <w:rsid w:val="42D41E9C"/>
    <w:rsid w:val="42ED4C0F"/>
    <w:rsid w:val="43116FFB"/>
    <w:rsid w:val="433C3F6B"/>
    <w:rsid w:val="43417AD7"/>
    <w:rsid w:val="43697B1B"/>
    <w:rsid w:val="43C409F9"/>
    <w:rsid w:val="441E71D2"/>
    <w:rsid w:val="44B84E46"/>
    <w:rsid w:val="44BD68E4"/>
    <w:rsid w:val="44D14692"/>
    <w:rsid w:val="44FA72D3"/>
    <w:rsid w:val="454518CF"/>
    <w:rsid w:val="458D73D5"/>
    <w:rsid w:val="45AA797D"/>
    <w:rsid w:val="45AD2F03"/>
    <w:rsid w:val="45B511E4"/>
    <w:rsid w:val="45E00BE3"/>
    <w:rsid w:val="461B1FDE"/>
    <w:rsid w:val="463C1AC9"/>
    <w:rsid w:val="4642214A"/>
    <w:rsid w:val="465721DC"/>
    <w:rsid w:val="466338A4"/>
    <w:rsid w:val="467B1361"/>
    <w:rsid w:val="46C83517"/>
    <w:rsid w:val="470E58D2"/>
    <w:rsid w:val="47227E35"/>
    <w:rsid w:val="474C607D"/>
    <w:rsid w:val="47535847"/>
    <w:rsid w:val="47791D37"/>
    <w:rsid w:val="47A330C9"/>
    <w:rsid w:val="47B223E4"/>
    <w:rsid w:val="4800671A"/>
    <w:rsid w:val="48046EDA"/>
    <w:rsid w:val="48084421"/>
    <w:rsid w:val="48125D76"/>
    <w:rsid w:val="48815076"/>
    <w:rsid w:val="48C36A56"/>
    <w:rsid w:val="49087763"/>
    <w:rsid w:val="491870CC"/>
    <w:rsid w:val="49D56011"/>
    <w:rsid w:val="4A441309"/>
    <w:rsid w:val="4A5F148B"/>
    <w:rsid w:val="4A9448E3"/>
    <w:rsid w:val="4AD54A8E"/>
    <w:rsid w:val="4ADD5FA6"/>
    <w:rsid w:val="4AE40295"/>
    <w:rsid w:val="4AF14051"/>
    <w:rsid w:val="4B0339A1"/>
    <w:rsid w:val="4B1268E5"/>
    <w:rsid w:val="4B2C509D"/>
    <w:rsid w:val="4B4F0155"/>
    <w:rsid w:val="4B69044E"/>
    <w:rsid w:val="4B7324F9"/>
    <w:rsid w:val="4B7D7F7E"/>
    <w:rsid w:val="4BF531F2"/>
    <w:rsid w:val="4BFF5B3B"/>
    <w:rsid w:val="4C412D0C"/>
    <w:rsid w:val="4C613A33"/>
    <w:rsid w:val="4C750BDD"/>
    <w:rsid w:val="4C913240"/>
    <w:rsid w:val="4CAA294D"/>
    <w:rsid w:val="4CB47E03"/>
    <w:rsid w:val="4CFD6AEF"/>
    <w:rsid w:val="4D055FA0"/>
    <w:rsid w:val="4D2E38A0"/>
    <w:rsid w:val="4D450975"/>
    <w:rsid w:val="4DDE2C12"/>
    <w:rsid w:val="4E2F37CE"/>
    <w:rsid w:val="4E365EE7"/>
    <w:rsid w:val="4E412225"/>
    <w:rsid w:val="4E7044DE"/>
    <w:rsid w:val="4EB527A5"/>
    <w:rsid w:val="4EFD3F05"/>
    <w:rsid w:val="4F267A2A"/>
    <w:rsid w:val="4F63037B"/>
    <w:rsid w:val="4FA24237"/>
    <w:rsid w:val="4FE816F3"/>
    <w:rsid w:val="506F403E"/>
    <w:rsid w:val="508036EE"/>
    <w:rsid w:val="50AE6042"/>
    <w:rsid w:val="50C10F44"/>
    <w:rsid w:val="50F96EA5"/>
    <w:rsid w:val="50FE115E"/>
    <w:rsid w:val="51512DB7"/>
    <w:rsid w:val="5158653B"/>
    <w:rsid w:val="517162DB"/>
    <w:rsid w:val="517F2347"/>
    <w:rsid w:val="51A2742D"/>
    <w:rsid w:val="51DF03B9"/>
    <w:rsid w:val="52045C59"/>
    <w:rsid w:val="52096A03"/>
    <w:rsid w:val="522C47C1"/>
    <w:rsid w:val="524973F7"/>
    <w:rsid w:val="5253273C"/>
    <w:rsid w:val="525B35E6"/>
    <w:rsid w:val="5272218F"/>
    <w:rsid w:val="529B21EC"/>
    <w:rsid w:val="52D41099"/>
    <w:rsid w:val="52EB1D4B"/>
    <w:rsid w:val="52FA39E1"/>
    <w:rsid w:val="53153388"/>
    <w:rsid w:val="532401D1"/>
    <w:rsid w:val="5330233F"/>
    <w:rsid w:val="535070F2"/>
    <w:rsid w:val="53540BEA"/>
    <w:rsid w:val="53835639"/>
    <w:rsid w:val="53A05E55"/>
    <w:rsid w:val="53CA2D02"/>
    <w:rsid w:val="53CF2901"/>
    <w:rsid w:val="53E42395"/>
    <w:rsid w:val="53F31DE7"/>
    <w:rsid w:val="54131E75"/>
    <w:rsid w:val="54302AEB"/>
    <w:rsid w:val="54560E40"/>
    <w:rsid w:val="54C35F45"/>
    <w:rsid w:val="54F46459"/>
    <w:rsid w:val="5560589C"/>
    <w:rsid w:val="557E3D71"/>
    <w:rsid w:val="559F417F"/>
    <w:rsid w:val="55A06FB6"/>
    <w:rsid w:val="55A44696"/>
    <w:rsid w:val="55C7591B"/>
    <w:rsid w:val="55EC3479"/>
    <w:rsid w:val="55F304BE"/>
    <w:rsid w:val="561F3A4F"/>
    <w:rsid w:val="564701F1"/>
    <w:rsid w:val="566C007F"/>
    <w:rsid w:val="573F1EBD"/>
    <w:rsid w:val="578926AB"/>
    <w:rsid w:val="57AA5487"/>
    <w:rsid w:val="57BF0A7E"/>
    <w:rsid w:val="581038EB"/>
    <w:rsid w:val="58176846"/>
    <w:rsid w:val="583E1858"/>
    <w:rsid w:val="586E7E2B"/>
    <w:rsid w:val="58817BF3"/>
    <w:rsid w:val="589D0BB5"/>
    <w:rsid w:val="58DA71A7"/>
    <w:rsid w:val="58E4692F"/>
    <w:rsid w:val="596F6BC8"/>
    <w:rsid w:val="598E479D"/>
    <w:rsid w:val="59A43A02"/>
    <w:rsid w:val="59DB10F0"/>
    <w:rsid w:val="5A4C2AFF"/>
    <w:rsid w:val="5A57120A"/>
    <w:rsid w:val="5A7557DC"/>
    <w:rsid w:val="5AFC270F"/>
    <w:rsid w:val="5B0E4135"/>
    <w:rsid w:val="5B8F47E5"/>
    <w:rsid w:val="5BD61445"/>
    <w:rsid w:val="5BD7618C"/>
    <w:rsid w:val="5BFC6EA6"/>
    <w:rsid w:val="5C220BB2"/>
    <w:rsid w:val="5C3C5BCF"/>
    <w:rsid w:val="5C3D6937"/>
    <w:rsid w:val="5CA77147"/>
    <w:rsid w:val="5CC3015A"/>
    <w:rsid w:val="5D17210E"/>
    <w:rsid w:val="5D4E550A"/>
    <w:rsid w:val="5D605E4B"/>
    <w:rsid w:val="5D674F1F"/>
    <w:rsid w:val="5D9557E1"/>
    <w:rsid w:val="5DB67D6A"/>
    <w:rsid w:val="5E283755"/>
    <w:rsid w:val="5E5E4F89"/>
    <w:rsid w:val="5E7471C5"/>
    <w:rsid w:val="5EA11115"/>
    <w:rsid w:val="5EBA16D8"/>
    <w:rsid w:val="5EC7766E"/>
    <w:rsid w:val="5EEC352D"/>
    <w:rsid w:val="5F3E597A"/>
    <w:rsid w:val="5F515264"/>
    <w:rsid w:val="5F6275F7"/>
    <w:rsid w:val="5F695785"/>
    <w:rsid w:val="5F8036B7"/>
    <w:rsid w:val="5F9D2CD6"/>
    <w:rsid w:val="5FD86B8D"/>
    <w:rsid w:val="5FDE5D3B"/>
    <w:rsid w:val="5FF77CC0"/>
    <w:rsid w:val="60487300"/>
    <w:rsid w:val="605E38D4"/>
    <w:rsid w:val="606A37C5"/>
    <w:rsid w:val="60837D97"/>
    <w:rsid w:val="608C1C3B"/>
    <w:rsid w:val="6094289E"/>
    <w:rsid w:val="60B761DC"/>
    <w:rsid w:val="616672E8"/>
    <w:rsid w:val="616726ED"/>
    <w:rsid w:val="616B1851"/>
    <w:rsid w:val="61E96669"/>
    <w:rsid w:val="622626A0"/>
    <w:rsid w:val="62380EC8"/>
    <w:rsid w:val="625978AF"/>
    <w:rsid w:val="626323E7"/>
    <w:rsid w:val="627E3805"/>
    <w:rsid w:val="628250A4"/>
    <w:rsid w:val="62890C3E"/>
    <w:rsid w:val="62B65EBF"/>
    <w:rsid w:val="62DA2B9D"/>
    <w:rsid w:val="62FE628C"/>
    <w:rsid w:val="635F11AC"/>
    <w:rsid w:val="63692A2F"/>
    <w:rsid w:val="637E7323"/>
    <w:rsid w:val="6397692D"/>
    <w:rsid w:val="63CD05A1"/>
    <w:rsid w:val="63D7130D"/>
    <w:rsid w:val="641A130C"/>
    <w:rsid w:val="64D74F96"/>
    <w:rsid w:val="64DF6C26"/>
    <w:rsid w:val="64FF5F76"/>
    <w:rsid w:val="654B7F99"/>
    <w:rsid w:val="655267B4"/>
    <w:rsid w:val="65530F79"/>
    <w:rsid w:val="65AA49F3"/>
    <w:rsid w:val="65B937FE"/>
    <w:rsid w:val="65FB16A1"/>
    <w:rsid w:val="66210963"/>
    <w:rsid w:val="663E4C5E"/>
    <w:rsid w:val="663F3F40"/>
    <w:rsid w:val="66A01B60"/>
    <w:rsid w:val="66A83B4E"/>
    <w:rsid w:val="66AA6D98"/>
    <w:rsid w:val="66AF17D6"/>
    <w:rsid w:val="66D34BF2"/>
    <w:rsid w:val="66D571AC"/>
    <w:rsid w:val="66FF1811"/>
    <w:rsid w:val="672E0699"/>
    <w:rsid w:val="675054C3"/>
    <w:rsid w:val="677E3A5B"/>
    <w:rsid w:val="67947549"/>
    <w:rsid w:val="67A117A3"/>
    <w:rsid w:val="67B1731B"/>
    <w:rsid w:val="67B478DF"/>
    <w:rsid w:val="67BD04E0"/>
    <w:rsid w:val="67C04C0C"/>
    <w:rsid w:val="67E1286C"/>
    <w:rsid w:val="67EB3037"/>
    <w:rsid w:val="67F94371"/>
    <w:rsid w:val="68460E4B"/>
    <w:rsid w:val="68500D85"/>
    <w:rsid w:val="68683DE4"/>
    <w:rsid w:val="686B2C46"/>
    <w:rsid w:val="68747E4D"/>
    <w:rsid w:val="68835179"/>
    <w:rsid w:val="68B726AA"/>
    <w:rsid w:val="68DB59EC"/>
    <w:rsid w:val="68DF337B"/>
    <w:rsid w:val="68FC28BE"/>
    <w:rsid w:val="68FC62C0"/>
    <w:rsid w:val="69032BEA"/>
    <w:rsid w:val="690760B3"/>
    <w:rsid w:val="696E25E8"/>
    <w:rsid w:val="69C15370"/>
    <w:rsid w:val="69C15BD9"/>
    <w:rsid w:val="69E908CD"/>
    <w:rsid w:val="6A154F68"/>
    <w:rsid w:val="6A5121B1"/>
    <w:rsid w:val="6A571EB5"/>
    <w:rsid w:val="6AC22908"/>
    <w:rsid w:val="6B0E2DF3"/>
    <w:rsid w:val="6B3B6738"/>
    <w:rsid w:val="6B61763F"/>
    <w:rsid w:val="6B707134"/>
    <w:rsid w:val="6B736B42"/>
    <w:rsid w:val="6BC24831"/>
    <w:rsid w:val="6BEF6359"/>
    <w:rsid w:val="6C2F7958"/>
    <w:rsid w:val="6C623EE6"/>
    <w:rsid w:val="6CA265F8"/>
    <w:rsid w:val="6CB5251A"/>
    <w:rsid w:val="6CD4043B"/>
    <w:rsid w:val="6CD56718"/>
    <w:rsid w:val="6CD762C7"/>
    <w:rsid w:val="6CFC3EB5"/>
    <w:rsid w:val="6D2154B9"/>
    <w:rsid w:val="6D2C0ACE"/>
    <w:rsid w:val="6D464F37"/>
    <w:rsid w:val="6D55171A"/>
    <w:rsid w:val="6D9263F1"/>
    <w:rsid w:val="6D95416F"/>
    <w:rsid w:val="6DAD7E3A"/>
    <w:rsid w:val="6DEE6C91"/>
    <w:rsid w:val="6DFC2418"/>
    <w:rsid w:val="6E1F5A65"/>
    <w:rsid w:val="6E265317"/>
    <w:rsid w:val="6E2A65EF"/>
    <w:rsid w:val="6E3006AD"/>
    <w:rsid w:val="6E33275F"/>
    <w:rsid w:val="6E4816D6"/>
    <w:rsid w:val="6E700114"/>
    <w:rsid w:val="6E791AE1"/>
    <w:rsid w:val="6E9408FC"/>
    <w:rsid w:val="6EA55C55"/>
    <w:rsid w:val="6ECD79A4"/>
    <w:rsid w:val="6F3B4F58"/>
    <w:rsid w:val="6F4A4479"/>
    <w:rsid w:val="6F4B2CC1"/>
    <w:rsid w:val="6F580774"/>
    <w:rsid w:val="6F956219"/>
    <w:rsid w:val="6FCB1E35"/>
    <w:rsid w:val="6FE236DE"/>
    <w:rsid w:val="6FF70753"/>
    <w:rsid w:val="70565C4B"/>
    <w:rsid w:val="709E229C"/>
    <w:rsid w:val="70C142E1"/>
    <w:rsid w:val="70E13405"/>
    <w:rsid w:val="70FB1C0E"/>
    <w:rsid w:val="7120664A"/>
    <w:rsid w:val="71275317"/>
    <w:rsid w:val="715D5E83"/>
    <w:rsid w:val="71731ABF"/>
    <w:rsid w:val="718D75C1"/>
    <w:rsid w:val="71BA38F2"/>
    <w:rsid w:val="71EA0570"/>
    <w:rsid w:val="71F72C8D"/>
    <w:rsid w:val="7205184D"/>
    <w:rsid w:val="72111070"/>
    <w:rsid w:val="72204BFB"/>
    <w:rsid w:val="72305C60"/>
    <w:rsid w:val="72D73A3B"/>
    <w:rsid w:val="732E6B82"/>
    <w:rsid w:val="735C43F4"/>
    <w:rsid w:val="737E32EA"/>
    <w:rsid w:val="73A62C15"/>
    <w:rsid w:val="73A93545"/>
    <w:rsid w:val="73C20712"/>
    <w:rsid w:val="73C83699"/>
    <w:rsid w:val="74681C20"/>
    <w:rsid w:val="747B3B9C"/>
    <w:rsid w:val="74917340"/>
    <w:rsid w:val="74935317"/>
    <w:rsid w:val="74BB4D51"/>
    <w:rsid w:val="75151DA7"/>
    <w:rsid w:val="75267B11"/>
    <w:rsid w:val="7530098F"/>
    <w:rsid w:val="753D519B"/>
    <w:rsid w:val="75492FB1"/>
    <w:rsid w:val="754C2742"/>
    <w:rsid w:val="755E4E03"/>
    <w:rsid w:val="75677D33"/>
    <w:rsid w:val="757155EF"/>
    <w:rsid w:val="758215AF"/>
    <w:rsid w:val="75A0768A"/>
    <w:rsid w:val="75A24BE3"/>
    <w:rsid w:val="75B50BA6"/>
    <w:rsid w:val="75D75E98"/>
    <w:rsid w:val="75EA68FC"/>
    <w:rsid w:val="75F41F71"/>
    <w:rsid w:val="761F6E44"/>
    <w:rsid w:val="763A5B19"/>
    <w:rsid w:val="7668168C"/>
    <w:rsid w:val="76704D61"/>
    <w:rsid w:val="76755318"/>
    <w:rsid w:val="76860056"/>
    <w:rsid w:val="769865BE"/>
    <w:rsid w:val="76D33CC8"/>
    <w:rsid w:val="76F5269D"/>
    <w:rsid w:val="76F961D8"/>
    <w:rsid w:val="77031167"/>
    <w:rsid w:val="7725231C"/>
    <w:rsid w:val="776112D4"/>
    <w:rsid w:val="77A13BDD"/>
    <w:rsid w:val="77B22F4C"/>
    <w:rsid w:val="77C9412E"/>
    <w:rsid w:val="77E32524"/>
    <w:rsid w:val="78051017"/>
    <w:rsid w:val="78663294"/>
    <w:rsid w:val="78A22EA7"/>
    <w:rsid w:val="78B8391E"/>
    <w:rsid w:val="78BB7E8F"/>
    <w:rsid w:val="78CE505B"/>
    <w:rsid w:val="78E45305"/>
    <w:rsid w:val="78EC360C"/>
    <w:rsid w:val="79053EE1"/>
    <w:rsid w:val="790F6A75"/>
    <w:rsid w:val="79202FCE"/>
    <w:rsid w:val="79584427"/>
    <w:rsid w:val="795C4EF9"/>
    <w:rsid w:val="79756351"/>
    <w:rsid w:val="79835C23"/>
    <w:rsid w:val="799D571F"/>
    <w:rsid w:val="79BC6859"/>
    <w:rsid w:val="79C97568"/>
    <w:rsid w:val="79E31117"/>
    <w:rsid w:val="7A016D9E"/>
    <w:rsid w:val="7A457519"/>
    <w:rsid w:val="7A9C50B7"/>
    <w:rsid w:val="7AA64B7D"/>
    <w:rsid w:val="7AAB0E6A"/>
    <w:rsid w:val="7AB352F2"/>
    <w:rsid w:val="7AC30E31"/>
    <w:rsid w:val="7B4037D4"/>
    <w:rsid w:val="7B713AB0"/>
    <w:rsid w:val="7B8813C6"/>
    <w:rsid w:val="7BAB6FC2"/>
    <w:rsid w:val="7BAF53CF"/>
    <w:rsid w:val="7BB045D8"/>
    <w:rsid w:val="7BBC0331"/>
    <w:rsid w:val="7C4B2CF0"/>
    <w:rsid w:val="7C785242"/>
    <w:rsid w:val="7C7D7D58"/>
    <w:rsid w:val="7CF74CE5"/>
    <w:rsid w:val="7D0F3586"/>
    <w:rsid w:val="7D382D28"/>
    <w:rsid w:val="7D71306F"/>
    <w:rsid w:val="7D7426FB"/>
    <w:rsid w:val="7D7704CB"/>
    <w:rsid w:val="7DB16D8F"/>
    <w:rsid w:val="7DC014D7"/>
    <w:rsid w:val="7DCE1258"/>
    <w:rsid w:val="7E154BC6"/>
    <w:rsid w:val="7E2D0DE3"/>
    <w:rsid w:val="7E61605D"/>
    <w:rsid w:val="7E9A5D1A"/>
    <w:rsid w:val="7EAA127C"/>
    <w:rsid w:val="7EC9261C"/>
    <w:rsid w:val="7ED122C0"/>
    <w:rsid w:val="7F367710"/>
    <w:rsid w:val="7F432830"/>
    <w:rsid w:val="7F5E124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semiHidden="0" w:name="heading 2" w:locked="1"/>
    <w:lsdException w:qFormat="1" w:uiPriority="0" w:name="heading 3" w:locked="1"/>
    <w:lsdException w:qFormat="1" w:uiPriority="0"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ocked="1"/>
    <w:lsdException w:qFormat="1"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qFormat="1" w:unhideWhenUsed="0" w:uiPriority="1"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locked/>
    <w:uiPriority w:val="0"/>
    <w:pPr>
      <w:keepNext/>
      <w:keepLines/>
      <w:spacing w:before="340" w:beforeLines="0" w:beforeAutospacing="0" w:after="330" w:afterLines="0" w:afterAutospacing="0" w:line="576" w:lineRule="auto"/>
      <w:ind w:firstLine="560" w:firstLineChars="200"/>
      <w:jc w:val="left"/>
      <w:outlineLvl w:val="0"/>
    </w:pPr>
    <w:rPr>
      <w:rFonts w:ascii="Times New Roman" w:hAnsi="Times New Roman" w:eastAsia="微软雅黑"/>
      <w:b/>
      <w:kern w:val="44"/>
      <w:sz w:val="32"/>
    </w:rPr>
  </w:style>
  <w:style w:type="paragraph" w:styleId="3">
    <w:name w:val="heading 2"/>
    <w:basedOn w:val="1"/>
    <w:next w:val="1"/>
    <w:unhideWhenUsed/>
    <w:qFormat/>
    <w:locked/>
    <w:uiPriority w:val="0"/>
    <w:pPr>
      <w:keepNext/>
      <w:keepLines/>
      <w:spacing w:before="260" w:beforeLines="0" w:beforeAutospacing="0" w:after="260" w:afterLines="0" w:afterAutospacing="0" w:line="413" w:lineRule="auto"/>
      <w:ind w:firstLine="560" w:firstLineChars="200"/>
      <w:jc w:val="left"/>
      <w:outlineLvl w:val="1"/>
    </w:pPr>
    <w:rPr>
      <w:rFonts w:ascii="Arial" w:hAnsi="Arial" w:eastAsia="微软雅黑" w:cs="Times New Roman"/>
      <w:b/>
      <w:sz w:val="30"/>
    </w:rPr>
  </w:style>
  <w:style w:type="paragraph" w:styleId="4">
    <w:name w:val="heading 4"/>
    <w:basedOn w:val="1"/>
    <w:next w:val="1"/>
    <w:unhideWhenUsed/>
    <w:qFormat/>
    <w:locked/>
    <w:uiPriority w:val="0"/>
    <w:pPr>
      <w:keepNext/>
      <w:keepLines/>
      <w:spacing w:before="280" w:beforeLines="0" w:beforeAutospacing="0" w:after="290" w:afterLines="0" w:afterAutospacing="0" w:line="372" w:lineRule="auto"/>
      <w:ind w:firstLine="480" w:firstLineChars="200"/>
      <w:jc w:val="left"/>
      <w:outlineLvl w:val="3"/>
    </w:pPr>
    <w:rPr>
      <w:rFonts w:ascii="Arial" w:hAnsi="Arial" w:eastAsia="微软雅黑" w:cs="Times New Roman"/>
      <w:b/>
      <w:sz w:val="24"/>
    </w:rPr>
  </w:style>
  <w:style w:type="character" w:default="1" w:styleId="16">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5">
    <w:name w:val="Document Map"/>
    <w:basedOn w:val="1"/>
    <w:link w:val="21"/>
    <w:semiHidden/>
    <w:qFormat/>
    <w:uiPriority w:val="0"/>
    <w:pPr>
      <w:shd w:val="clear" w:color="auto" w:fill="000080"/>
    </w:pPr>
    <w:rPr>
      <w:rFonts w:ascii="Times New Roman" w:hAnsi="Times New Roman" w:eastAsia="Times New Roman"/>
      <w:kern w:val="0"/>
      <w:sz w:val="16"/>
      <w:szCs w:val="16"/>
    </w:rPr>
  </w:style>
  <w:style w:type="paragraph" w:styleId="6">
    <w:name w:val="Body Text"/>
    <w:basedOn w:val="1"/>
    <w:qFormat/>
    <w:uiPriority w:val="1"/>
    <w:rPr>
      <w:rFonts w:ascii="宋体" w:hAnsi="宋体" w:eastAsia="宋体" w:cs="宋体"/>
      <w:sz w:val="24"/>
      <w:szCs w:val="24"/>
      <w:lang w:val="zh-CN" w:eastAsia="zh-CN" w:bidi="zh-CN"/>
    </w:rPr>
  </w:style>
  <w:style w:type="paragraph" w:styleId="7">
    <w:name w:val="Body Text Indent"/>
    <w:basedOn w:val="1"/>
    <w:link w:val="22"/>
    <w:qFormat/>
    <w:uiPriority w:val="99"/>
    <w:pPr>
      <w:spacing w:line="700" w:lineRule="exact"/>
      <w:ind w:firstLine="640" w:firstLineChars="200"/>
    </w:pPr>
    <w:rPr>
      <w:kern w:val="0"/>
      <w:sz w:val="24"/>
      <w:szCs w:val="20"/>
    </w:rPr>
  </w:style>
  <w:style w:type="paragraph" w:styleId="8">
    <w:name w:val="Balloon Text"/>
    <w:basedOn w:val="1"/>
    <w:link w:val="23"/>
    <w:qFormat/>
    <w:uiPriority w:val="99"/>
    <w:rPr>
      <w:sz w:val="18"/>
      <w:szCs w:val="20"/>
    </w:rPr>
  </w:style>
  <w:style w:type="paragraph" w:styleId="9">
    <w:name w:val="footer"/>
    <w:basedOn w:val="1"/>
    <w:link w:val="24"/>
    <w:qFormat/>
    <w:uiPriority w:val="99"/>
    <w:pPr>
      <w:tabs>
        <w:tab w:val="center" w:pos="4153"/>
        <w:tab w:val="right" w:pos="8306"/>
      </w:tabs>
      <w:snapToGrid w:val="0"/>
      <w:jc w:val="left"/>
    </w:pPr>
    <w:rPr>
      <w:kern w:val="0"/>
      <w:sz w:val="18"/>
      <w:szCs w:val="20"/>
    </w:rPr>
  </w:style>
  <w:style w:type="paragraph" w:styleId="10">
    <w:name w:val="header"/>
    <w:basedOn w:val="1"/>
    <w:link w:val="25"/>
    <w:qFormat/>
    <w:uiPriority w:val="99"/>
    <w:pPr>
      <w:pBdr>
        <w:bottom w:val="single" w:color="auto" w:sz="6" w:space="1"/>
      </w:pBdr>
      <w:tabs>
        <w:tab w:val="center" w:pos="4153"/>
        <w:tab w:val="right" w:pos="8306"/>
      </w:tabs>
      <w:snapToGrid w:val="0"/>
      <w:jc w:val="center"/>
    </w:pPr>
    <w:rPr>
      <w:kern w:val="0"/>
      <w:sz w:val="18"/>
      <w:szCs w:val="20"/>
    </w:rPr>
  </w:style>
  <w:style w:type="paragraph" w:styleId="11">
    <w:name w:val="toc 1"/>
    <w:basedOn w:val="1"/>
    <w:next w:val="1"/>
    <w:qFormat/>
    <w:locked/>
    <w:uiPriority w:val="0"/>
  </w:style>
  <w:style w:type="paragraph" w:styleId="12">
    <w:name w:val="toc 2"/>
    <w:basedOn w:val="1"/>
    <w:next w:val="1"/>
    <w:qFormat/>
    <w:locked/>
    <w:uiPriority w:val="0"/>
    <w:pPr>
      <w:ind w:left="420" w:leftChars="200"/>
    </w:pPr>
  </w:style>
  <w:style w:type="paragraph" w:styleId="13">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table" w:styleId="15">
    <w:name w:val="Table Grid"/>
    <w:basedOn w:val="14"/>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locked/>
    <w:uiPriority w:val="0"/>
    <w:rPr>
      <w:b/>
      <w:bCs/>
    </w:rPr>
  </w:style>
  <w:style w:type="character" w:styleId="18">
    <w:name w:val="page number"/>
    <w:qFormat/>
    <w:uiPriority w:val="99"/>
    <w:rPr>
      <w:rFonts w:cs="Times New Roman"/>
    </w:rPr>
  </w:style>
  <w:style w:type="character" w:styleId="19">
    <w:name w:val="Hyperlink"/>
    <w:qFormat/>
    <w:uiPriority w:val="99"/>
    <w:rPr>
      <w:rFonts w:cs="Times New Roman"/>
      <w:color w:val="0563C1"/>
      <w:u w:val="single"/>
    </w:rPr>
  </w:style>
  <w:style w:type="character" w:customStyle="1" w:styleId="20">
    <w:name w:val="标题 1 Char"/>
    <w:link w:val="2"/>
    <w:qFormat/>
    <w:uiPriority w:val="0"/>
    <w:rPr>
      <w:rFonts w:ascii="Times New Roman" w:hAnsi="Times New Roman" w:eastAsia="微软雅黑"/>
      <w:b/>
      <w:kern w:val="44"/>
      <w:sz w:val="32"/>
    </w:rPr>
  </w:style>
  <w:style w:type="character" w:customStyle="1" w:styleId="21">
    <w:name w:val="文档结构图 Char"/>
    <w:basedOn w:val="16"/>
    <w:link w:val="5"/>
    <w:semiHidden/>
    <w:qFormat/>
    <w:uiPriority w:val="0"/>
    <w:rPr>
      <w:sz w:val="16"/>
      <w:szCs w:val="16"/>
      <w:lang w:bidi="ar-SA"/>
    </w:rPr>
  </w:style>
  <w:style w:type="character" w:customStyle="1" w:styleId="22">
    <w:name w:val="正文文本缩进 Char"/>
    <w:link w:val="7"/>
    <w:semiHidden/>
    <w:qFormat/>
    <w:locked/>
    <w:uiPriority w:val="99"/>
    <w:rPr>
      <w:rFonts w:cs="Times New Roman"/>
      <w:sz w:val="24"/>
    </w:rPr>
  </w:style>
  <w:style w:type="character" w:customStyle="1" w:styleId="23">
    <w:name w:val="批注框文本 Char"/>
    <w:link w:val="8"/>
    <w:qFormat/>
    <w:locked/>
    <w:uiPriority w:val="99"/>
    <w:rPr>
      <w:rFonts w:cs="Times New Roman"/>
      <w:kern w:val="2"/>
      <w:sz w:val="18"/>
    </w:rPr>
  </w:style>
  <w:style w:type="character" w:customStyle="1" w:styleId="24">
    <w:name w:val="页脚 Char"/>
    <w:link w:val="9"/>
    <w:qFormat/>
    <w:locked/>
    <w:uiPriority w:val="99"/>
    <w:rPr>
      <w:rFonts w:cs="Times New Roman"/>
      <w:sz w:val="18"/>
    </w:rPr>
  </w:style>
  <w:style w:type="character" w:customStyle="1" w:styleId="25">
    <w:name w:val="页眉 Char"/>
    <w:link w:val="10"/>
    <w:qFormat/>
    <w:locked/>
    <w:uiPriority w:val="99"/>
    <w:rPr>
      <w:rFonts w:cs="Times New Roman"/>
      <w:sz w:val="18"/>
    </w:rPr>
  </w:style>
  <w:style w:type="paragraph" w:customStyle="1" w:styleId="26">
    <w:name w:val="Normal Indent1"/>
    <w:basedOn w:val="1"/>
    <w:qFormat/>
    <w:uiPriority w:val="0"/>
    <w:pPr>
      <w:ind w:firstLine="420" w:firstLineChars="200"/>
    </w:pPr>
  </w:style>
  <w:style w:type="paragraph" w:customStyle="1" w:styleId="27">
    <w:name w:val="列出段落1"/>
    <w:basedOn w:val="1"/>
    <w:qFormat/>
    <w:uiPriority w:val="99"/>
    <w:pPr>
      <w:ind w:firstLine="420" w:firstLineChars="200"/>
    </w:pPr>
  </w:style>
  <w:style w:type="paragraph" w:customStyle="1" w:styleId="28">
    <w:name w:val="WPSOffice手动目录 1"/>
    <w:qFormat/>
    <w:uiPriority w:val="0"/>
    <w:pPr>
      <w:ind w:leftChars="0"/>
    </w:pPr>
    <w:rPr>
      <w:rFonts w:ascii="Times New Roman" w:hAnsi="Times New Roman" w:eastAsia="宋体" w:cs="Times New Roman"/>
      <w:sz w:val="20"/>
      <w:szCs w:val="20"/>
    </w:rPr>
  </w:style>
  <w:style w:type="table" w:customStyle="1" w:styleId="2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23</Pages>
  <Words>12917</Words>
  <Characters>13842</Characters>
  <Lines>73</Lines>
  <Paragraphs>20</Paragraphs>
  <TotalTime>1</TotalTime>
  <ScaleCrop>false</ScaleCrop>
  <LinksUpToDate>false</LinksUpToDate>
  <CharactersWithSpaces>13884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2019-08-20T03:10:00Z</dcterms:created>
  <dc:creator>Ada</dc:creator>
  <cp:lastModifiedBy>袁文婷</cp:lastModifiedBy>
  <cp:lastPrinted>2025-09-17T01:29:00Z</cp:lastPrinted>
  <dcterms:modified xsi:type="dcterms:W3CDTF">2025-09-19T11:20:56Z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RubyTemplateID">
    <vt:lpwstr>6</vt:lpwstr>
  </property>
  <property fmtid="{D5CDD505-2E9C-101B-9397-08002B2CF9AE}" pid="4" name="ICV">
    <vt:lpwstr>C29EACF4AEFD4D068BDC88529CFA4E50_13</vt:lpwstr>
  </property>
  <property fmtid="{D5CDD505-2E9C-101B-9397-08002B2CF9AE}" pid="5" name="KSOSaveFontToCloudKey">
    <vt:lpwstr>267215036_btnclosed</vt:lpwstr>
  </property>
  <property fmtid="{D5CDD505-2E9C-101B-9397-08002B2CF9AE}" pid="6" name="KSOTemplateDocerSaveRecord">
    <vt:lpwstr>eyJoZGlkIjoiNjJjMzRlYjg3Mzk1ZWJkNjQ0ZThkYTRlNjI5NGUwNDQiLCJ1c2VySWQiOiIxNTU4NDc0MTc4In0=</vt:lpwstr>
  </property>
</Properties>
</file>