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3CB4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shd w:val="clear" w:fill="FFFFFF"/>
          <w:lang w:val="en-US" w:eastAsia="zh-CN"/>
        </w:rPr>
        <w:t xml:space="preserve">附件3   </w:t>
      </w:r>
    </w:p>
    <w:p w14:paraId="4F3FC13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2400" w:firstLineChars="80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sz w:val="30"/>
          <w:szCs w:val="30"/>
          <w:shd w:val="clear" w:fill="FFFFFF"/>
          <w:lang w:val="en-US" w:eastAsia="zh-CN"/>
        </w:rPr>
        <w:t>课程标准参考样例</w:t>
      </w:r>
    </w:p>
    <w:p w14:paraId="2EA16A2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44A9F97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5BE875B5">
      <w:pPr>
        <w:spacing w:before="236" w:line="552" w:lineRule="exact"/>
        <w:ind w:left="1387"/>
        <w:rPr>
          <w:rFonts w:ascii="微软雅黑" w:hAnsi="微软雅黑" w:eastAsia="微软雅黑" w:cs="微软雅黑"/>
          <w:spacing w:val="5"/>
          <w:position w:val="-3"/>
          <w:sz w:val="55"/>
          <w:szCs w:val="55"/>
        </w:rPr>
      </w:pPr>
      <w:bookmarkStart w:id="18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11430</wp:posOffset>
            </wp:positionV>
            <wp:extent cx="3676650" cy="714375"/>
            <wp:effectExtent l="0" t="0" r="0" b="0"/>
            <wp:wrapThrough wrapText="bothSides">
              <wp:wrapPolygon>
                <wp:start x="0" y="0"/>
                <wp:lineTo x="0" y="21312"/>
                <wp:lineTo x="21544" y="21312"/>
                <wp:lineTo x="21544" y="0"/>
                <wp:lineTo x="0" y="0"/>
              </wp:wrapPolygon>
            </wp:wrapThrough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8"/>
    </w:p>
    <w:p w14:paraId="5A4EE756">
      <w:pPr>
        <w:spacing w:before="236" w:line="552" w:lineRule="exact"/>
        <w:ind w:left="1387"/>
        <w:rPr>
          <w:rFonts w:ascii="微软雅黑" w:hAnsi="微软雅黑" w:eastAsia="微软雅黑" w:cs="微软雅黑"/>
          <w:spacing w:val="5"/>
          <w:position w:val="-3"/>
          <w:sz w:val="55"/>
          <w:szCs w:val="55"/>
        </w:rPr>
      </w:pPr>
    </w:p>
    <w:p w14:paraId="3AB03100">
      <w:pPr>
        <w:spacing w:before="236" w:line="552" w:lineRule="exact"/>
        <w:ind w:left="1387"/>
        <w:rPr>
          <w:rFonts w:ascii="微软雅黑" w:hAnsi="微软雅黑" w:eastAsia="微软雅黑" w:cs="微软雅黑"/>
          <w:spacing w:val="5"/>
          <w:position w:val="-3"/>
          <w:sz w:val="55"/>
          <w:szCs w:val="55"/>
        </w:rPr>
      </w:pPr>
    </w:p>
    <w:p w14:paraId="6FFFB9BF">
      <w:pPr>
        <w:spacing w:after="312" w:afterLines="100"/>
        <w:ind w:firstLine="0" w:firstLineChars="0"/>
        <w:jc w:val="center"/>
        <w:rPr>
          <w:rFonts w:hint="eastAsia" w:ascii="方正小标宋简体" w:eastAsia="方正小标宋简体"/>
          <w:b w:val="0"/>
          <w:bCs w:val="0"/>
          <w:sz w:val="44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36"/>
          <w:lang w:val="en-US" w:eastAsia="zh-CN"/>
        </w:rPr>
        <w:t>河南省高等职业学校办学能力评价</w:t>
      </w:r>
    </w:p>
    <w:p w14:paraId="50A7C510">
      <w:pPr>
        <w:spacing w:after="312" w:afterLines="100"/>
        <w:ind w:firstLine="0" w:firstLineChars="0"/>
        <w:jc w:val="center"/>
        <w:rPr>
          <w:rFonts w:hint="eastAsia" w:ascii="方正小标宋简体" w:eastAsia="方正小标宋简体"/>
          <w:b w:val="0"/>
          <w:bCs w:val="0"/>
          <w:sz w:val="44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36"/>
          <w:lang w:val="en-US" w:eastAsia="zh-CN"/>
        </w:rPr>
        <w:t>教学工作评估佐证材料</w:t>
      </w:r>
    </w:p>
    <w:p w14:paraId="42DC12D7">
      <w:pPr>
        <w:spacing w:before="309" w:line="249" w:lineRule="auto"/>
        <w:ind w:left="3280" w:right="808" w:hanging="2403"/>
        <w:rPr>
          <w:rFonts w:ascii="KaiTi_GB2312" w:hAnsi="KaiTi_GB2312" w:eastAsia="KaiTi_GB2312" w:cs="KaiTi_GB2312"/>
          <w:spacing w:val="-1"/>
          <w:sz w:val="72"/>
          <w:szCs w:val="72"/>
        </w:rPr>
      </w:pPr>
    </w:p>
    <w:p w14:paraId="2088508D">
      <w:pPr>
        <w:spacing w:before="309" w:line="249" w:lineRule="auto"/>
        <w:ind w:left="3280" w:right="808" w:hanging="2403"/>
        <w:rPr>
          <w:rFonts w:ascii="KaiTi_GB2312" w:hAnsi="KaiTi_GB2312" w:eastAsia="KaiTi_GB2312" w:cs="KaiTi_GB2312"/>
          <w:spacing w:val="-1"/>
          <w:sz w:val="72"/>
          <w:szCs w:val="72"/>
        </w:rPr>
      </w:pPr>
    </w:p>
    <w:p w14:paraId="2B179B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spacing w:val="-1"/>
          <w:sz w:val="48"/>
          <w:szCs w:val="48"/>
          <w:highlight w:val="yellow"/>
        </w:rPr>
      </w:pPr>
      <w:r>
        <w:rPr>
          <w:rFonts w:hint="eastAsia" w:ascii="楷体_GB2312" w:hAnsi="楷体_GB2312" w:eastAsia="楷体_GB2312" w:cs="楷体_GB2312"/>
          <w:spacing w:val="-1"/>
          <w:sz w:val="48"/>
          <w:szCs w:val="48"/>
          <w:highlight w:val="yellow"/>
          <w:lang w:val="en-US" w:eastAsia="zh-CN"/>
        </w:rPr>
        <w:t>XXX</w:t>
      </w:r>
      <w:r>
        <w:rPr>
          <w:rFonts w:hint="eastAsia" w:ascii="楷体_GB2312" w:hAnsi="楷体_GB2312" w:eastAsia="楷体_GB2312" w:cs="楷体_GB2312"/>
          <w:spacing w:val="-1"/>
          <w:sz w:val="48"/>
          <w:szCs w:val="48"/>
        </w:rPr>
        <w:t>专业</w:t>
      </w:r>
    </w:p>
    <w:p w14:paraId="6C5C52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sz w:val="48"/>
          <w:szCs w:val="48"/>
        </w:rPr>
      </w:pPr>
      <w:r>
        <w:rPr>
          <w:rFonts w:hint="eastAsia" w:ascii="楷体_GB2312" w:hAnsi="楷体_GB2312" w:eastAsia="楷体_GB2312" w:cs="楷体_GB2312"/>
          <w:spacing w:val="-1"/>
          <w:sz w:val="48"/>
          <w:szCs w:val="48"/>
        </w:rPr>
        <w:t>课程标准汇编</w:t>
      </w:r>
    </w:p>
    <w:p w14:paraId="0A8D3EE4">
      <w:pPr>
        <w:rPr>
          <w:rFonts w:ascii="KaiTi_GB2312" w:hAnsi="KaiTi_GB2312" w:eastAsia="KaiTi_GB2312" w:cs="KaiTi_GB2312"/>
          <w:sz w:val="95"/>
          <w:szCs w:val="95"/>
        </w:rPr>
      </w:pPr>
    </w:p>
    <w:p w14:paraId="63D831AE">
      <w:pPr>
        <w:rPr>
          <w:rFonts w:ascii="KaiTi_GB2312" w:hAnsi="KaiTi_GB2312" w:eastAsia="KaiTi_GB2312" w:cs="KaiTi_GB2312"/>
          <w:sz w:val="95"/>
          <w:szCs w:val="95"/>
        </w:rPr>
      </w:pPr>
    </w:p>
    <w:p w14:paraId="3CFDF112">
      <w:pPr>
        <w:spacing w:line="360" w:lineRule="auto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济源职业技术学院</w:t>
      </w:r>
    </w:p>
    <w:p w14:paraId="20130399">
      <w:pPr>
        <w:spacing w:line="360" w:lineRule="auto"/>
        <w:ind w:firstLine="0" w:firstLineChars="0"/>
        <w:jc w:val="center"/>
        <w:rPr>
          <w:rFonts w:ascii="KaiTi_GB2312" w:hAnsi="KaiTi_GB2312" w:eastAsia="KaiTi_GB2312" w:cs="KaiTi_GB2312"/>
          <w:sz w:val="95"/>
          <w:szCs w:val="95"/>
        </w:rPr>
        <w:sectPr>
          <w:pgSz w:w="11906" w:h="16839"/>
          <w:pgMar w:top="2098" w:right="1417" w:bottom="1417" w:left="1587" w:header="0" w:footer="0" w:gutter="0"/>
          <w:cols w:space="720" w:num="1"/>
          <w:rtlGutter w:val="0"/>
          <w:docGrid w:linePitch="0" w:charSpace="0"/>
        </w:sect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月</w:t>
      </w:r>
      <w:r>
        <w:rPr>
          <w:rFonts w:ascii="KaiTi_GB2312" w:hAnsi="KaiTi_GB2312" w:eastAsia="KaiTi_GB2312" w:cs="KaiTi_GB2312"/>
          <w:sz w:val="95"/>
          <w:szCs w:val="95"/>
        </w:rPr>
        <w:br w:type="page"/>
      </w:r>
    </w:p>
    <w:p w14:paraId="04981099">
      <w:pPr>
        <w:spacing w:line="360" w:lineRule="auto"/>
        <w:ind w:firstLine="0" w:firstLineChars="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目  录</w:t>
      </w:r>
    </w:p>
    <w:p w14:paraId="79FDE9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615AF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D4D645C">
      <w:pPr>
        <w:keepNext w:val="0"/>
        <w:keepLines w:val="0"/>
        <w:pageBreakBefore w:val="0"/>
        <w:widowControl/>
        <w:tabs>
          <w:tab w:val="right" w:leader="middleDot" w:pos="89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_Toc15193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pacing w:val="-5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新能源汽车故障诊断技术</w:t>
      </w:r>
      <w:r>
        <w:rPr>
          <w:rFonts w:hint="eastAsia" w:ascii="仿宋_GB2312" w:hAnsi="仿宋_GB2312" w:eastAsia="仿宋_GB2312" w:cs="仿宋_GB2312"/>
          <w:bCs/>
          <w:spacing w:val="-5"/>
          <w:sz w:val="32"/>
          <w:szCs w:val="32"/>
        </w:rPr>
        <w:t>课程标准</w:t>
      </w:r>
      <w:r>
        <w:rPr>
          <w:rFonts w:hint="eastAsia" w:ascii="Times New Roman" w:hAnsi="Times New Roman" w:eastAsia="仿宋_GB2312" w:cs="Times New Roman"/>
          <w:bCs/>
          <w:spacing w:val="-5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408004D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middleDot" w:pos="89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XXX 课程标准</w:t>
      </w:r>
      <w:r>
        <w:rPr>
          <w:rFonts w:hint="eastAsia" w:ascii="Times New Roman" w:hAnsi="Times New Roman" w:eastAsia="仿宋_GB2312" w:cs="Times New Roman"/>
          <w:bCs/>
          <w:spacing w:val="-5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fldChar w:fldCharType="begin"/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instrText xml:space="preserve"> PAGEREF _Toc6552 \h </w:instrTex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fldChar w:fldCharType="separate"/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5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fldChar w:fldCharType="end"/>
      </w:r>
    </w:p>
    <w:p w14:paraId="578CCB7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</w:pPr>
    </w:p>
    <w:p w14:paraId="6BCDC40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 w14:paraId="3AC1407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 w14:paraId="49CBA8E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 w14:paraId="72C4714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 w14:paraId="5D9C30E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 w14:paraId="7924A40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 w14:paraId="74DE010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 w14:paraId="4A6DD64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sectPr>
          <w:footerReference r:id="rId3" w:type="default"/>
          <w:pgSz w:w="11906" w:h="16839"/>
          <w:pgMar w:top="2098" w:right="1417" w:bottom="1417" w:left="1587" w:header="0" w:footer="0" w:gutter="0"/>
          <w:pgNumType w:start="1"/>
          <w:cols w:space="720" w:num="1"/>
          <w:rtlGutter w:val="0"/>
          <w:docGrid w:linePitch="0" w:charSpace="0"/>
        </w:sectPr>
      </w:pPr>
    </w:p>
    <w:p w14:paraId="06E095AA">
      <w:pPr>
        <w:pStyle w:val="9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4874CB" w:themeColor="accent1"/>
          <w:spacing w:val="-5"/>
          <w:sz w:val="36"/>
          <w:szCs w:val="36"/>
          <w14:textFill>
            <w14:solidFill>
              <w14:schemeClr w14:val="accent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874CB" w:themeColor="accent1"/>
          <w:spacing w:val="-1"/>
          <w:sz w:val="36"/>
          <w:szCs w:val="36"/>
          <w14:textFill>
            <w14:solidFill>
              <w14:schemeClr w14:val="accent1"/>
            </w14:solidFill>
          </w14:textFill>
        </w:rPr>
        <w:t>新能源汽车故障诊断技术课程标准</w:t>
      </w:r>
    </w:p>
    <w:p w14:paraId="34FD9742">
      <w:pPr>
        <w:pStyle w:val="10"/>
        <w:keepNext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leftChars="0" w:firstLine="556" w:firstLineChars="200"/>
        <w:textAlignment w:val="baseline"/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bookmarkStart w:id="0" w:name="_Toc4977"/>
      <w:bookmarkStart w:id="1" w:name="_Toc26670"/>
      <w:bookmarkStart w:id="2" w:name="_Toc27748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14:textFill>
            <w14:solidFill>
              <w14:schemeClr w14:val="accent1"/>
            </w14:solidFill>
          </w14:textFill>
        </w:rPr>
        <w:t>基本信息</w:t>
      </w:r>
      <w:bookmarkEnd w:id="0"/>
      <w:bookmarkEnd w:id="1"/>
      <w:bookmarkEnd w:id="2"/>
    </w:p>
    <w:p w14:paraId="02C7EF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jc w:val="center"/>
        <w:textAlignment w:val="baseline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>表1</w:t>
      </w:r>
      <w:r>
        <w:rPr>
          <w:rFonts w:hint="eastAsia" w:ascii="楷体_GB2312" w:hAnsi="楷体_GB2312" w:eastAsia="楷体_GB2312" w:cs="楷体_GB2312"/>
          <w:spacing w:val="-4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>课程基本信息</w:t>
      </w:r>
    </w:p>
    <w:tbl>
      <w:tblPr>
        <w:tblStyle w:val="12"/>
        <w:tblW w:w="88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707"/>
        <w:gridCol w:w="1708"/>
        <w:gridCol w:w="917"/>
        <w:gridCol w:w="1526"/>
        <w:gridCol w:w="1473"/>
      </w:tblGrid>
      <w:tr w14:paraId="38104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1547" w:type="dxa"/>
            <w:vAlign w:val="center"/>
          </w:tcPr>
          <w:p w14:paraId="04B9323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课程名称</w:t>
            </w:r>
          </w:p>
        </w:tc>
        <w:tc>
          <w:tcPr>
            <w:tcW w:w="4332" w:type="dxa"/>
            <w:gridSpan w:val="3"/>
            <w:vAlign w:val="center"/>
          </w:tcPr>
          <w:p w14:paraId="6B74EB6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新能源汽车故障诊断技术</w:t>
            </w:r>
          </w:p>
        </w:tc>
        <w:tc>
          <w:tcPr>
            <w:tcW w:w="1526" w:type="dxa"/>
            <w:vAlign w:val="center"/>
          </w:tcPr>
          <w:p w14:paraId="7CB202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课程代码</w:t>
            </w:r>
          </w:p>
        </w:tc>
        <w:tc>
          <w:tcPr>
            <w:tcW w:w="1473" w:type="dxa"/>
            <w:vAlign w:val="center"/>
          </w:tcPr>
          <w:p w14:paraId="6A4BD0F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</w:tr>
      <w:tr w14:paraId="1311F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1547" w:type="dxa"/>
            <w:vMerge w:val="restart"/>
            <w:tcBorders>
              <w:bottom w:val="nil"/>
            </w:tcBorders>
            <w:vAlign w:val="center"/>
          </w:tcPr>
          <w:p w14:paraId="45CBB81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学时</w:t>
            </w:r>
          </w:p>
        </w:tc>
        <w:tc>
          <w:tcPr>
            <w:tcW w:w="1707" w:type="dxa"/>
            <w:vAlign w:val="center"/>
          </w:tcPr>
          <w:p w14:paraId="1FF0721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理论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学时</w:t>
            </w:r>
          </w:p>
        </w:tc>
        <w:tc>
          <w:tcPr>
            <w:tcW w:w="1708" w:type="dxa"/>
            <w:vAlign w:val="center"/>
          </w:tcPr>
          <w:p w14:paraId="2F2FE3B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实践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学时</w:t>
            </w:r>
          </w:p>
        </w:tc>
        <w:tc>
          <w:tcPr>
            <w:tcW w:w="917" w:type="dxa"/>
            <w:vAlign w:val="center"/>
          </w:tcPr>
          <w:p w14:paraId="2259DD9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26" w:type="dxa"/>
            <w:vMerge w:val="restart"/>
            <w:tcBorders>
              <w:bottom w:val="nil"/>
            </w:tcBorders>
            <w:vAlign w:val="center"/>
          </w:tcPr>
          <w:p w14:paraId="07F6974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473" w:type="dxa"/>
            <w:vMerge w:val="restart"/>
            <w:tcBorders>
              <w:bottom w:val="nil"/>
            </w:tcBorders>
            <w:vAlign w:val="center"/>
          </w:tcPr>
          <w:p w14:paraId="3771C94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 w14:paraId="33AC4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547" w:type="dxa"/>
            <w:vMerge w:val="continue"/>
            <w:tcBorders>
              <w:top w:val="nil"/>
            </w:tcBorders>
            <w:vAlign w:val="center"/>
          </w:tcPr>
          <w:p w14:paraId="013AE51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417BD7B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8" w:type="dxa"/>
            <w:vAlign w:val="center"/>
          </w:tcPr>
          <w:p w14:paraId="061C648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17" w:type="dxa"/>
            <w:vAlign w:val="center"/>
          </w:tcPr>
          <w:p w14:paraId="66D3AB4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526" w:type="dxa"/>
            <w:vMerge w:val="continue"/>
            <w:tcBorders>
              <w:top w:val="nil"/>
            </w:tcBorders>
            <w:vAlign w:val="center"/>
          </w:tcPr>
          <w:p w14:paraId="01580E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vMerge w:val="continue"/>
            <w:tcBorders>
              <w:top w:val="nil"/>
            </w:tcBorders>
            <w:vAlign w:val="center"/>
          </w:tcPr>
          <w:p w14:paraId="57FB8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18D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  <w:jc w:val="center"/>
        </w:trPr>
        <w:tc>
          <w:tcPr>
            <w:tcW w:w="1547" w:type="dxa"/>
            <w:vAlign w:val="center"/>
          </w:tcPr>
          <w:p w14:paraId="7830648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课程类型</w:t>
            </w:r>
          </w:p>
        </w:tc>
        <w:tc>
          <w:tcPr>
            <w:tcW w:w="7331" w:type="dxa"/>
            <w:gridSpan w:val="5"/>
            <w:vAlign w:val="center"/>
          </w:tcPr>
          <w:p w14:paraId="76E70A2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公共基础课程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 xml:space="preserve"> □专业基础课程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专业核心课程</w:t>
            </w:r>
          </w:p>
          <w:p w14:paraId="4029F07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□专业拓展课程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 xml:space="preserve"> □实践实训课程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□公共选修课程</w:t>
            </w:r>
          </w:p>
        </w:tc>
      </w:tr>
      <w:tr w14:paraId="3F4C1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1547" w:type="dxa"/>
            <w:vAlign w:val="center"/>
          </w:tcPr>
          <w:p w14:paraId="1B1F2C2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授课所属教学单位</w:t>
            </w:r>
          </w:p>
        </w:tc>
        <w:tc>
          <w:tcPr>
            <w:tcW w:w="4332" w:type="dxa"/>
            <w:gridSpan w:val="3"/>
            <w:vAlign w:val="center"/>
          </w:tcPr>
          <w:p w14:paraId="79ECA0D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汽车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学院</w:t>
            </w:r>
          </w:p>
        </w:tc>
        <w:tc>
          <w:tcPr>
            <w:tcW w:w="1526" w:type="dxa"/>
            <w:vAlign w:val="center"/>
          </w:tcPr>
          <w:p w14:paraId="556E9F5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课程所属单位负责人</w:t>
            </w:r>
          </w:p>
        </w:tc>
        <w:tc>
          <w:tcPr>
            <w:tcW w:w="1473" w:type="dxa"/>
            <w:vAlign w:val="center"/>
          </w:tcPr>
          <w:p w14:paraId="1D540ED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</w:tr>
      <w:tr w14:paraId="2BB84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1547" w:type="dxa"/>
            <w:vAlign w:val="center"/>
          </w:tcPr>
          <w:p w14:paraId="26F182A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适用专业/群</w:t>
            </w:r>
          </w:p>
        </w:tc>
        <w:tc>
          <w:tcPr>
            <w:tcW w:w="4332" w:type="dxa"/>
            <w:gridSpan w:val="3"/>
            <w:vAlign w:val="center"/>
          </w:tcPr>
          <w:p w14:paraId="24FA55A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新能源汽车技术</w:t>
            </w:r>
          </w:p>
        </w:tc>
        <w:tc>
          <w:tcPr>
            <w:tcW w:w="1526" w:type="dxa"/>
            <w:vAlign w:val="center"/>
          </w:tcPr>
          <w:p w14:paraId="0ED7383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适用学期</w:t>
            </w:r>
          </w:p>
        </w:tc>
        <w:tc>
          <w:tcPr>
            <w:tcW w:w="1473" w:type="dxa"/>
            <w:vAlign w:val="center"/>
          </w:tcPr>
          <w:p w14:paraId="7650F83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1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第四学期</w:t>
            </w:r>
          </w:p>
        </w:tc>
      </w:tr>
      <w:tr w14:paraId="75561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1547" w:type="dxa"/>
            <w:shd w:val="clear" w:color="auto" w:fill="auto"/>
            <w:vAlign w:val="center"/>
          </w:tcPr>
          <w:p w14:paraId="43A350C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合作开发企业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14:paraId="776E299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郑州比亚迪汽车有限公司、郑州宇通集团有限公司</w:t>
            </w:r>
          </w:p>
        </w:tc>
      </w:tr>
      <w:tr w14:paraId="3F168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1547" w:type="dxa"/>
            <w:vAlign w:val="center"/>
          </w:tcPr>
          <w:p w14:paraId="4D3CBF4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执笔人</w:t>
            </w:r>
          </w:p>
        </w:tc>
        <w:tc>
          <w:tcPr>
            <w:tcW w:w="4332" w:type="dxa"/>
            <w:gridSpan w:val="3"/>
            <w:vAlign w:val="center"/>
          </w:tcPr>
          <w:p w14:paraId="017EDE8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  <w:tc>
          <w:tcPr>
            <w:tcW w:w="1526" w:type="dxa"/>
            <w:vAlign w:val="center"/>
          </w:tcPr>
          <w:p w14:paraId="05A18E2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审核人</w:t>
            </w:r>
          </w:p>
        </w:tc>
        <w:tc>
          <w:tcPr>
            <w:tcW w:w="1473" w:type="dxa"/>
            <w:vAlign w:val="center"/>
          </w:tcPr>
          <w:p w14:paraId="43B2E3D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</w:tr>
    </w:tbl>
    <w:p w14:paraId="7DA484DA">
      <w:pPr>
        <w:pStyle w:val="10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20" w:lineRule="exact"/>
        <w:ind w:left="0" w:leftChars="0" w:firstLine="556" w:firstLineChars="200"/>
        <w:textAlignment w:val="baseline"/>
        <w:rPr>
          <w:rFonts w:hint="default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bookmarkStart w:id="3" w:name="_Toc12062"/>
      <w:bookmarkStart w:id="4" w:name="_Toc335"/>
      <w:bookmarkStart w:id="5" w:name="_Toc28229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二、课程</w:t>
      </w:r>
      <w:bookmarkEnd w:id="3"/>
      <w:bookmarkEnd w:id="4"/>
      <w:bookmarkEnd w:id="5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性质与任务</w:t>
      </w:r>
    </w:p>
    <w:p w14:paraId="5E782E0D">
      <w:pPr>
        <w:pStyle w:val="1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2" w:firstLineChars="200"/>
        <w:textAlignment w:val="baseline"/>
        <w:rPr>
          <w:rFonts w:hint="eastAsia"/>
          <w:b/>
          <w:bCs/>
          <w:color w:val="8497B0" w:themeColor="text2" w:themeTint="99"/>
          <w:sz w:val="28"/>
          <w:szCs w:val="28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一）课程性质</w:t>
      </w:r>
    </w:p>
    <w:p w14:paraId="6DF933D1">
      <w:pPr>
        <w:pStyle w:val="1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新能源汽车维护与故障诊断是汽车</w:t>
      </w:r>
      <w:r>
        <w:rPr>
          <w:rFonts w:hint="eastAsia"/>
          <w:sz w:val="28"/>
          <w:szCs w:val="28"/>
          <w:lang w:val="en-US" w:eastAsia="zh-CN"/>
        </w:rPr>
        <w:t>修理与维护行业的重要基础性工作。</w:t>
      </w:r>
      <w:r>
        <w:rPr>
          <w:rFonts w:hint="eastAsia"/>
          <w:sz w:val="28"/>
          <w:szCs w:val="28"/>
        </w:rPr>
        <w:t>新能源汽车维护与故障诊断</w:t>
      </w:r>
      <w:r>
        <w:rPr>
          <w:rFonts w:hint="eastAsia"/>
          <w:sz w:val="28"/>
          <w:szCs w:val="28"/>
          <w:lang w:val="en-US" w:eastAsia="zh-CN"/>
        </w:rPr>
        <w:t>课程是</w:t>
      </w:r>
      <w:r>
        <w:rPr>
          <w:rFonts w:hint="eastAsia"/>
          <w:sz w:val="28"/>
          <w:szCs w:val="28"/>
        </w:rPr>
        <w:t>新能源汽车技术专业的一门专业核心课程，是培养学生职业岗位关键能力的必修课程。</w:t>
      </w:r>
    </w:p>
    <w:p w14:paraId="2824313C">
      <w:pPr>
        <w:pStyle w:val="1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2" w:firstLineChars="200"/>
        <w:textAlignment w:val="baseline"/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二）课程任务</w:t>
      </w:r>
    </w:p>
    <w:p w14:paraId="4433609D">
      <w:pPr>
        <w:pStyle w:val="1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本课程</w:t>
      </w:r>
      <w:r>
        <w:rPr>
          <w:rFonts w:hint="eastAsia"/>
          <w:sz w:val="28"/>
          <w:szCs w:val="28"/>
          <w:lang w:val="en-US" w:eastAsia="zh-CN"/>
        </w:rPr>
        <w:t>全面贯彻党的教育方针，落实立德树人根本任务，对接</w:t>
      </w:r>
      <w:r>
        <w:rPr>
          <w:rFonts w:hint="eastAsia"/>
          <w:sz w:val="28"/>
          <w:szCs w:val="28"/>
        </w:rPr>
        <w:t>新能源汽车</w:t>
      </w:r>
      <w:r>
        <w:rPr>
          <w:rFonts w:hint="eastAsia"/>
          <w:sz w:val="28"/>
          <w:szCs w:val="28"/>
          <w:lang w:val="en-US" w:eastAsia="zh-CN"/>
        </w:rPr>
        <w:t>修理与维护行业一线岗位对技能人才的现实需求，</w:t>
      </w:r>
      <w:r>
        <w:rPr>
          <w:rFonts w:hint="eastAsia"/>
          <w:sz w:val="28"/>
          <w:szCs w:val="28"/>
        </w:rPr>
        <w:t>使学生掌握新能源汽车检测仪器与工具、诊断仪的使用方法，</w:t>
      </w:r>
      <w:r>
        <w:rPr>
          <w:rFonts w:hint="eastAsia"/>
          <w:sz w:val="28"/>
          <w:szCs w:val="28"/>
          <w:lang w:val="en-US" w:eastAsia="zh-CN"/>
        </w:rPr>
        <w:t>具备</w:t>
      </w:r>
      <w:r>
        <w:rPr>
          <w:rFonts w:hint="eastAsia"/>
          <w:sz w:val="28"/>
          <w:szCs w:val="28"/>
        </w:rPr>
        <w:t>熟练识读电路图及查询维修手册</w:t>
      </w:r>
      <w:r>
        <w:rPr>
          <w:rFonts w:hint="eastAsia"/>
          <w:sz w:val="28"/>
          <w:szCs w:val="28"/>
          <w:lang w:val="en-US" w:eastAsia="zh-CN"/>
        </w:rPr>
        <w:t>的技能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熟悉</w:t>
      </w:r>
      <w:r>
        <w:rPr>
          <w:rFonts w:hint="eastAsia"/>
          <w:sz w:val="28"/>
          <w:szCs w:val="28"/>
        </w:rPr>
        <w:t>纯电动、混合动力汽车维护作业方法及故障诊断策略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养成爱岗敬业、安全规范、严谨细致的素质，为后续专业课程学习及未来职业发展奠定坚实基础。</w:t>
      </w:r>
    </w:p>
    <w:p w14:paraId="715A6ED4">
      <w:pPr>
        <w:pStyle w:val="10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leftChars="0" w:firstLine="556" w:firstLineChars="200"/>
        <w:textAlignment w:val="baseline"/>
        <w:rPr>
          <w:rFonts w:hint="default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bookmarkStart w:id="6" w:name="_Toc1017"/>
      <w:bookmarkStart w:id="7" w:name="_Toc13254"/>
      <w:bookmarkStart w:id="8" w:name="_Toc19254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三、课程目标</w:t>
      </w:r>
      <w:bookmarkEnd w:id="6"/>
      <w:bookmarkEnd w:id="7"/>
      <w:bookmarkEnd w:id="8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与要求</w:t>
      </w:r>
    </w:p>
    <w:p w14:paraId="72D75FC2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本课程立足服务新能源汽车企业，以新能源汽车故障诊断过程为载体，通过系统的理论学习和实践训练，线上与线下学习相结合，要求学生达到以下目标与要求。</w:t>
      </w:r>
    </w:p>
    <w:p w14:paraId="114563D9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default"/>
          <w:sz w:val="28"/>
          <w:szCs w:val="28"/>
          <w:lang w:val="en-US" w:eastAsia="zh-CN"/>
        </w:rPr>
        <w:t>树立安全环保与质量服务意识，熟练完成纯电动及混合动力汽车维护作业，严格遵守行业操作规范。</w:t>
      </w:r>
    </w:p>
    <w:p w14:paraId="748464D4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default"/>
          <w:sz w:val="28"/>
          <w:szCs w:val="28"/>
          <w:lang w:val="en-US" w:eastAsia="zh-CN"/>
        </w:rPr>
        <w:t>掌握新能源汽车检测仪器、诊断仪的使用方法，在反复实操中养成严谨规范</w:t>
      </w:r>
      <w:r>
        <w:rPr>
          <w:rFonts w:hint="eastAsia"/>
          <w:sz w:val="28"/>
          <w:szCs w:val="28"/>
          <w:lang w:val="en-US" w:eastAsia="zh-CN"/>
        </w:rPr>
        <w:t>、精益求精</w:t>
      </w:r>
      <w:r>
        <w:rPr>
          <w:rFonts w:hint="default"/>
          <w:sz w:val="28"/>
          <w:szCs w:val="28"/>
          <w:lang w:val="en-US" w:eastAsia="zh-CN"/>
        </w:rPr>
        <w:t>的操作习惯。</w:t>
      </w:r>
    </w:p>
    <w:p w14:paraId="5FE1ECF7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default"/>
          <w:sz w:val="28"/>
          <w:szCs w:val="28"/>
          <w:lang w:val="en-US" w:eastAsia="zh-CN"/>
        </w:rPr>
        <w:t>具备精准数据分析能力，熟练掌握纯电动及混合动力汽车故障诊断核心策略，敢于对诊断结果负责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highlight w:val="none"/>
          <w:lang w:val="en-US" w:eastAsia="zh-CN"/>
        </w:rPr>
        <w:t>树立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责任担当</w:t>
      </w:r>
      <w:r>
        <w:rPr>
          <w:rFonts w:hint="eastAsia"/>
          <w:sz w:val="28"/>
          <w:szCs w:val="28"/>
          <w:highlight w:val="none"/>
          <w:lang w:val="en-US" w:eastAsia="zh-CN"/>
        </w:rPr>
        <w:t>意识。</w:t>
      </w:r>
    </w:p>
    <w:p w14:paraId="660EBE71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4.</w:t>
      </w:r>
      <w:r>
        <w:rPr>
          <w:rFonts w:hint="default"/>
          <w:sz w:val="28"/>
          <w:szCs w:val="28"/>
          <w:highlight w:val="none"/>
          <w:lang w:val="en-US" w:eastAsia="zh-CN"/>
        </w:rPr>
        <w:t>运用科学思维深入分析电机与控制系统故障原因，通过持续钻研独立完成复杂故障检修工作</w:t>
      </w:r>
      <w:r>
        <w:rPr>
          <w:rFonts w:hint="eastAsia"/>
          <w:sz w:val="28"/>
          <w:szCs w:val="28"/>
          <w:highlight w:val="none"/>
          <w:lang w:val="en-US" w:eastAsia="zh-CN"/>
        </w:rPr>
        <w:t>，培养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锲而不舍</w:t>
      </w:r>
      <w:r>
        <w:rPr>
          <w:rFonts w:hint="eastAsia"/>
          <w:sz w:val="28"/>
          <w:szCs w:val="28"/>
          <w:highlight w:val="none"/>
          <w:lang w:val="en-US" w:eastAsia="zh-CN"/>
        </w:rPr>
        <w:t>、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克难攻坚</w:t>
      </w:r>
      <w:r>
        <w:rPr>
          <w:rFonts w:hint="eastAsia"/>
          <w:sz w:val="28"/>
          <w:szCs w:val="28"/>
          <w:highlight w:val="none"/>
          <w:lang w:val="en-US" w:eastAsia="zh-CN"/>
        </w:rPr>
        <w:t>的职业素养</w:t>
      </w:r>
      <w:r>
        <w:rPr>
          <w:rFonts w:hint="default"/>
          <w:sz w:val="28"/>
          <w:szCs w:val="28"/>
          <w:highlight w:val="none"/>
          <w:lang w:val="en-US" w:eastAsia="zh-CN"/>
        </w:rPr>
        <w:t>。</w:t>
      </w:r>
    </w:p>
    <w:p w14:paraId="5DD8A1EB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5.</w:t>
      </w:r>
      <w:r>
        <w:rPr>
          <w:rFonts w:hint="default"/>
          <w:sz w:val="28"/>
          <w:szCs w:val="28"/>
          <w:highlight w:val="none"/>
          <w:lang w:val="en-US" w:eastAsia="zh-CN"/>
        </w:rPr>
        <w:t>掌握动力电池与电池管理系统故障机理，以细致耐心完成故障排查与修复，坚守质量底线。</w:t>
      </w:r>
    </w:p>
    <w:p w14:paraId="69DE929F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6.</w:t>
      </w:r>
      <w:r>
        <w:rPr>
          <w:rFonts w:hint="default"/>
          <w:sz w:val="28"/>
          <w:szCs w:val="28"/>
          <w:highlight w:val="none"/>
          <w:lang w:val="en-US" w:eastAsia="zh-CN"/>
        </w:rPr>
        <w:t>熟悉整车控制系统故障成因，敢于突破传统诊断思路，优化故障诊断方法并高效完成系统检修</w:t>
      </w:r>
      <w:r>
        <w:rPr>
          <w:rFonts w:hint="eastAsia"/>
          <w:sz w:val="28"/>
          <w:szCs w:val="28"/>
          <w:highlight w:val="none"/>
          <w:lang w:val="en-US" w:eastAsia="zh-CN"/>
        </w:rPr>
        <w:t>，培养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敢为人先</w:t>
      </w:r>
      <w:r>
        <w:rPr>
          <w:rFonts w:hint="eastAsia"/>
          <w:sz w:val="28"/>
          <w:szCs w:val="28"/>
          <w:highlight w:val="none"/>
          <w:lang w:val="en-US" w:eastAsia="zh-CN"/>
        </w:rPr>
        <w:t>精神。</w:t>
      </w:r>
    </w:p>
    <w:p w14:paraId="3E542A34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7.</w:t>
      </w:r>
      <w:r>
        <w:rPr>
          <w:rFonts w:hint="default"/>
          <w:sz w:val="28"/>
          <w:szCs w:val="28"/>
          <w:highlight w:val="none"/>
          <w:lang w:val="en-US" w:eastAsia="zh-CN"/>
        </w:rPr>
        <w:t>掌握充电系统故障分析方法，以客户需求为导向，高效解决充电相关问题，践行行业服务理想</w:t>
      </w:r>
      <w:r>
        <w:rPr>
          <w:rFonts w:hint="eastAsia"/>
          <w:sz w:val="28"/>
          <w:szCs w:val="28"/>
          <w:highlight w:val="none"/>
          <w:lang w:val="en-US" w:eastAsia="zh-CN"/>
        </w:rPr>
        <w:t>，发扬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敬业奉献</w:t>
      </w:r>
      <w:r>
        <w:rPr>
          <w:rFonts w:hint="eastAsia"/>
          <w:sz w:val="28"/>
          <w:szCs w:val="28"/>
          <w:highlight w:val="none"/>
          <w:lang w:val="en-US" w:eastAsia="zh-CN"/>
        </w:rPr>
        <w:t>精神。</w:t>
      </w:r>
    </w:p>
    <w:p w14:paraId="3685C1B3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8.</w:t>
      </w:r>
      <w:r>
        <w:rPr>
          <w:rFonts w:hint="default"/>
          <w:sz w:val="28"/>
          <w:szCs w:val="28"/>
          <w:highlight w:val="none"/>
          <w:lang w:val="en-US" w:eastAsia="zh-CN"/>
        </w:rPr>
        <w:t>秉持严谨的故障排查态度，凭借坚韧毅力独立完成纯电动汽车综合故障的深度分析与检修</w:t>
      </w:r>
      <w:r>
        <w:rPr>
          <w:rFonts w:hint="eastAsia"/>
          <w:sz w:val="28"/>
          <w:szCs w:val="28"/>
          <w:highlight w:val="none"/>
          <w:lang w:val="en-US" w:eastAsia="zh-CN"/>
        </w:rPr>
        <w:t>，塑造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苦干实干</w:t>
      </w:r>
      <w:r>
        <w:rPr>
          <w:rFonts w:hint="eastAsia"/>
          <w:sz w:val="28"/>
          <w:szCs w:val="28"/>
          <w:highlight w:val="none"/>
          <w:lang w:val="en-US" w:eastAsia="zh-CN"/>
        </w:rPr>
        <w:t>品质。</w:t>
      </w:r>
    </w:p>
    <w:p w14:paraId="5991B1C1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9.</w:t>
      </w:r>
      <w:r>
        <w:rPr>
          <w:rFonts w:hint="default"/>
          <w:sz w:val="28"/>
          <w:szCs w:val="28"/>
          <w:lang w:val="en-US" w:eastAsia="zh-CN"/>
        </w:rPr>
        <w:t>提升口头与书面表达能力，主动对接客户获取车辆关键信息，以专业沟通传递行业服务温度。</w:t>
      </w:r>
    </w:p>
    <w:p w14:paraId="0BC03FE3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10.</w:t>
      </w:r>
      <w:r>
        <w:rPr>
          <w:rFonts w:hint="default"/>
          <w:sz w:val="28"/>
          <w:szCs w:val="28"/>
          <w:lang w:val="en-US" w:eastAsia="zh-CN"/>
        </w:rPr>
        <w:t>培养团队合作精神，热爱集体、爱岗敬业，在协作中践行吃苦耐劳的职业素养，共同推动任务完成。</w:t>
      </w:r>
    </w:p>
    <w:p w14:paraId="4D29F9DD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11.</w:t>
      </w:r>
      <w:r>
        <w:rPr>
          <w:rFonts w:hint="default"/>
          <w:sz w:val="28"/>
          <w:szCs w:val="28"/>
          <w:lang w:val="en-US" w:eastAsia="zh-CN"/>
        </w:rPr>
        <w:t>强化科学创新意识，勇于优化故障诊断方法、提出技术创新方案，以奋斗精神推动新能源汽车维修技术迭代。</w:t>
      </w:r>
    </w:p>
    <w:p w14:paraId="504EE6E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left w:val="none" w:color="auto" w:sz="0" w:space="0"/>
        </w:pBdr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leftChars="0" w:firstLine="5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12.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树立终身学习理念，保持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-5"/>
          <w:kern w:val="0"/>
          <w:sz w:val="28"/>
          <w:szCs w:val="28"/>
          <w:highlight w:val="none"/>
          <w:lang w:val="en-US" w:eastAsia="zh-CN" w:bidi="ar-SA"/>
        </w:rPr>
        <w:t>乐学善学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，持续跟进行业技术发展，以奋斗姿态适应新能源汽车行业快速变革。</w:t>
      </w:r>
    </w:p>
    <w:p w14:paraId="498FE2BE">
      <w:pPr>
        <w:pStyle w:val="10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leftChars="0" w:firstLine="556" w:firstLineChars="200"/>
        <w:textAlignment w:val="baseline"/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bookmarkStart w:id="9" w:name="_Toc7168"/>
      <w:bookmarkStart w:id="10" w:name="_Toc13998"/>
      <w:bookmarkStart w:id="11" w:name="_Toc1247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四、课程</w:t>
      </w:r>
      <w:bookmarkEnd w:id="9"/>
      <w:bookmarkEnd w:id="10"/>
      <w:bookmarkEnd w:id="11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结构与内容</w:t>
      </w:r>
    </w:p>
    <w:p w14:paraId="281E44A9">
      <w:pPr>
        <w:pStyle w:val="14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firstLine="538" w:firstLineChars="200"/>
        <w:textAlignment w:val="baseline"/>
        <w:rPr>
          <w:rFonts w:hint="default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一）课程结构</w:t>
      </w:r>
    </w:p>
    <w:p w14:paraId="2F5961D1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本课程由3</w:t>
      </w:r>
      <w:r>
        <w:rPr>
          <w:rFonts w:hint="default"/>
          <w:sz w:val="28"/>
          <w:szCs w:val="28"/>
          <w:lang w:val="en-US" w:eastAsia="zh-CN"/>
        </w:rPr>
        <w:t>个</w:t>
      </w:r>
      <w:r>
        <w:rPr>
          <w:rFonts w:hint="eastAsia"/>
          <w:sz w:val="28"/>
          <w:szCs w:val="28"/>
          <w:lang w:val="en-US" w:eastAsia="zh-CN"/>
        </w:rPr>
        <w:t>学习模块</w:t>
      </w:r>
      <w:r>
        <w:rPr>
          <w:rFonts w:hint="default"/>
          <w:sz w:val="28"/>
          <w:szCs w:val="28"/>
          <w:lang w:val="en-US" w:eastAsia="zh-CN"/>
        </w:rPr>
        <w:t>构成，包括</w:t>
      </w:r>
      <w:r>
        <w:rPr>
          <w:rFonts w:hint="eastAsia"/>
          <w:sz w:val="28"/>
          <w:szCs w:val="28"/>
          <w:lang w:val="en-US" w:eastAsia="en-US"/>
        </w:rPr>
        <w:t>新能源汽车维护作业</w:t>
      </w:r>
      <w:r>
        <w:rPr>
          <w:rFonts w:hint="default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en-US"/>
        </w:rPr>
        <w:t>纯电动汽车故障诊断与检修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en-US"/>
        </w:rPr>
        <w:t>混合动力汽车故障诊断与检修</w:t>
      </w:r>
      <w:r>
        <w:rPr>
          <w:rFonts w:hint="eastAsia"/>
          <w:sz w:val="28"/>
          <w:szCs w:val="28"/>
          <w:lang w:val="en-US" w:eastAsia="zh-CN"/>
        </w:rPr>
        <w:t>。课程围绕</w:t>
      </w:r>
      <w:r>
        <w:rPr>
          <w:rFonts w:hint="eastAsia"/>
          <w:sz w:val="28"/>
          <w:szCs w:val="28"/>
          <w:lang w:val="en-US" w:eastAsia="en-US"/>
        </w:rPr>
        <w:t>汽车电路图的识读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en-US"/>
        </w:rPr>
        <w:t>检测数据分析</w:t>
      </w:r>
      <w:r>
        <w:rPr>
          <w:rFonts w:hint="eastAsia"/>
          <w:sz w:val="28"/>
          <w:szCs w:val="28"/>
          <w:lang w:val="en-US" w:eastAsia="zh-CN"/>
        </w:rPr>
        <w:t>等13 个典型工作任务组织教学。</w:t>
      </w:r>
    </w:p>
    <w:p w14:paraId="64B13592">
      <w:pPr>
        <w:pStyle w:val="10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20" w:lineRule="exact"/>
        <w:ind w:left="0" w:leftChars="0"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b w:val="0"/>
          <w:bCs/>
          <w:snapToGrid w:val="0"/>
          <w:color w:val="000000"/>
          <w:spacing w:val="-4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表2 课程</w:t>
      </w:r>
      <w:r>
        <w:rPr>
          <w:rFonts w:hint="eastAsia" w:ascii="楷体_GB2312" w:hAnsi="楷体_GB2312" w:eastAsia="楷体_GB2312" w:cs="楷体_GB2312"/>
          <w:b w:val="0"/>
          <w:bCs/>
          <w:snapToGrid w:val="0"/>
          <w:color w:val="000000"/>
          <w:spacing w:val="-4"/>
          <w:kern w:val="0"/>
          <w:sz w:val="28"/>
          <w:szCs w:val="28"/>
          <w:lang w:val="en-US" w:eastAsia="zh-CN" w:bidi="ar-SA"/>
        </w:rPr>
        <w:t>结构</w:t>
      </w:r>
    </w:p>
    <w:tbl>
      <w:tblPr>
        <w:tblStyle w:val="12"/>
        <w:tblW w:w="88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8"/>
        <w:gridCol w:w="4533"/>
        <w:gridCol w:w="827"/>
        <w:gridCol w:w="710"/>
        <w:gridCol w:w="838"/>
      </w:tblGrid>
      <w:tr w14:paraId="64AB3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968" w:type="dxa"/>
            <w:vAlign w:val="center"/>
          </w:tcPr>
          <w:p w14:paraId="4D16183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项目/模块/专题</w:t>
            </w:r>
          </w:p>
        </w:tc>
        <w:tc>
          <w:tcPr>
            <w:tcW w:w="4533" w:type="dxa"/>
            <w:vAlign w:val="center"/>
          </w:tcPr>
          <w:p w14:paraId="0550491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学习内容</w:t>
            </w:r>
          </w:p>
        </w:tc>
        <w:tc>
          <w:tcPr>
            <w:tcW w:w="827" w:type="dxa"/>
            <w:vAlign w:val="center"/>
          </w:tcPr>
          <w:p w14:paraId="54C64B4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理论</w:t>
            </w:r>
          </w:p>
          <w:p w14:paraId="2ECCB3B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学时</w:t>
            </w:r>
          </w:p>
        </w:tc>
        <w:tc>
          <w:tcPr>
            <w:tcW w:w="710" w:type="dxa"/>
            <w:vAlign w:val="center"/>
          </w:tcPr>
          <w:p w14:paraId="17C96F8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实践</w:t>
            </w:r>
          </w:p>
          <w:p w14:paraId="0AD914B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学时</w:t>
            </w:r>
          </w:p>
        </w:tc>
        <w:tc>
          <w:tcPr>
            <w:tcW w:w="838" w:type="dxa"/>
            <w:vAlign w:val="center"/>
          </w:tcPr>
          <w:p w14:paraId="64E2876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总学时</w:t>
            </w:r>
          </w:p>
        </w:tc>
      </w:tr>
      <w:tr w14:paraId="2E12D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restart"/>
            <w:vAlign w:val="center"/>
          </w:tcPr>
          <w:p w14:paraId="664110E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 xml:space="preserve">模块一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新能源汽车维护作业</w:t>
            </w:r>
          </w:p>
        </w:tc>
        <w:tc>
          <w:tcPr>
            <w:tcW w:w="4533" w:type="dxa"/>
            <w:vAlign w:val="center"/>
          </w:tcPr>
          <w:p w14:paraId="299B396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新能源汽车维护作业基础知识</w:t>
            </w:r>
          </w:p>
        </w:tc>
        <w:tc>
          <w:tcPr>
            <w:tcW w:w="827" w:type="dxa"/>
            <w:vAlign w:val="center"/>
          </w:tcPr>
          <w:p w14:paraId="6EEFEAA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10" w:type="dxa"/>
            <w:vAlign w:val="center"/>
          </w:tcPr>
          <w:p w14:paraId="65BA52A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8" w:type="dxa"/>
            <w:vMerge w:val="restart"/>
            <w:vAlign w:val="center"/>
          </w:tcPr>
          <w:p w14:paraId="35FFEB2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9</w:t>
            </w:r>
          </w:p>
        </w:tc>
      </w:tr>
      <w:tr w14:paraId="06CBA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668553E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vAlign w:val="center"/>
          </w:tcPr>
          <w:p w14:paraId="6DB6A24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纯电动汽车维护作业</w:t>
            </w:r>
          </w:p>
        </w:tc>
        <w:tc>
          <w:tcPr>
            <w:tcW w:w="827" w:type="dxa"/>
            <w:vAlign w:val="center"/>
          </w:tcPr>
          <w:p w14:paraId="22AC956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10" w:type="dxa"/>
            <w:vAlign w:val="center"/>
          </w:tcPr>
          <w:p w14:paraId="3211DD4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8" w:type="dxa"/>
            <w:vMerge w:val="continue"/>
            <w:vAlign w:val="center"/>
          </w:tcPr>
          <w:p w14:paraId="1272066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7E2C7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02D9C84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vAlign w:val="center"/>
          </w:tcPr>
          <w:p w14:paraId="691E5BE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混合动力汽车维护作业</w:t>
            </w:r>
          </w:p>
        </w:tc>
        <w:tc>
          <w:tcPr>
            <w:tcW w:w="827" w:type="dxa"/>
            <w:vAlign w:val="center"/>
          </w:tcPr>
          <w:p w14:paraId="64E0428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10" w:type="dxa"/>
            <w:vAlign w:val="center"/>
          </w:tcPr>
          <w:p w14:paraId="433A381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8" w:type="dxa"/>
            <w:vMerge w:val="continue"/>
            <w:tcBorders>
              <w:bottom w:val="single" w:color="auto" w:sz="4" w:space="0"/>
            </w:tcBorders>
            <w:vAlign w:val="center"/>
          </w:tcPr>
          <w:p w14:paraId="6270D8A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19F50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restart"/>
            <w:vAlign w:val="center"/>
          </w:tcPr>
          <w:p w14:paraId="24913B1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 xml:space="preserve">模块二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纯电动汽车故障诊断与检修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E99216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纯电动汽车电路图的识读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802020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185B4A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</w:tcBorders>
            <w:vAlign w:val="center"/>
          </w:tcPr>
          <w:p w14:paraId="7365FF5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44</w:t>
            </w:r>
          </w:p>
        </w:tc>
      </w:tr>
      <w:tr w14:paraId="09557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1351AE1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6931F99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纯电动汽车检测数据分析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97032C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0D1A00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8" w:type="dxa"/>
            <w:vMerge w:val="continue"/>
            <w:vAlign w:val="center"/>
          </w:tcPr>
          <w:p w14:paraId="6F05F7E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55510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768887F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412EE88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电机与控制系统故障诊断与检修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575543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F4FECE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38" w:type="dxa"/>
            <w:vMerge w:val="continue"/>
            <w:vAlign w:val="center"/>
          </w:tcPr>
          <w:p w14:paraId="1E82C7F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73D40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1968" w:type="dxa"/>
            <w:vMerge w:val="continue"/>
            <w:vAlign w:val="center"/>
          </w:tcPr>
          <w:p w14:paraId="324D3D0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3D953A8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任务4：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动力电池与电池管理系统故障诊断与检修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11168C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5664E9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38" w:type="dxa"/>
            <w:vMerge w:val="continue"/>
            <w:vAlign w:val="center"/>
          </w:tcPr>
          <w:p w14:paraId="1843F4D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12784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6E1AC56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6A8D786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任务5：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整车控制系统故障诊断与检修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E50009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2706EA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8" w:type="dxa"/>
            <w:vMerge w:val="continue"/>
            <w:vAlign w:val="center"/>
          </w:tcPr>
          <w:p w14:paraId="2DAE22F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12A48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34F7ADD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3B529D4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任务6：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充电系统故障诊断与检修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006A21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9B6D49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8" w:type="dxa"/>
            <w:vMerge w:val="continue"/>
            <w:vAlign w:val="center"/>
          </w:tcPr>
          <w:p w14:paraId="2BBD84C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0ACC8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1EB6DA7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782BED7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任务7：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综合故障诊断与检修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3A8ADE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AED24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8" w:type="dxa"/>
            <w:vMerge w:val="continue"/>
            <w:tcBorders>
              <w:bottom w:val="single" w:color="auto" w:sz="4" w:space="0"/>
            </w:tcBorders>
            <w:vAlign w:val="center"/>
          </w:tcPr>
          <w:p w14:paraId="41076C0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530F8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restart"/>
            <w:vAlign w:val="center"/>
          </w:tcPr>
          <w:p w14:paraId="2F1CB9F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 xml:space="preserve">模块三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混合动力汽车故障诊断与检修</w:t>
            </w:r>
          </w:p>
        </w:tc>
        <w:tc>
          <w:tcPr>
            <w:tcW w:w="4533" w:type="dxa"/>
            <w:vAlign w:val="center"/>
          </w:tcPr>
          <w:p w14:paraId="349F38F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发动机系统故障诊断与检修</w:t>
            </w:r>
          </w:p>
        </w:tc>
        <w:tc>
          <w:tcPr>
            <w:tcW w:w="827" w:type="dxa"/>
            <w:vAlign w:val="center"/>
          </w:tcPr>
          <w:p w14:paraId="503D133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10" w:type="dxa"/>
            <w:vAlign w:val="center"/>
          </w:tcPr>
          <w:p w14:paraId="4F1660D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57E11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11</w:t>
            </w:r>
          </w:p>
        </w:tc>
      </w:tr>
      <w:tr w14:paraId="1A364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0ACCAC8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vAlign w:val="center"/>
          </w:tcPr>
          <w:p w14:paraId="633BD85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变速箱系统故障诊断与检修</w:t>
            </w:r>
          </w:p>
        </w:tc>
        <w:tc>
          <w:tcPr>
            <w:tcW w:w="827" w:type="dxa"/>
            <w:vAlign w:val="center"/>
          </w:tcPr>
          <w:p w14:paraId="4C699CF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10" w:type="dxa"/>
            <w:vAlign w:val="center"/>
          </w:tcPr>
          <w:p w14:paraId="3FF46BC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38F77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00801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1968" w:type="dxa"/>
            <w:vMerge w:val="continue"/>
            <w:vAlign w:val="center"/>
          </w:tcPr>
          <w:p w14:paraId="56592A8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vAlign w:val="center"/>
          </w:tcPr>
          <w:p w14:paraId="42853E7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综合故障诊断与检修</w:t>
            </w:r>
          </w:p>
        </w:tc>
        <w:tc>
          <w:tcPr>
            <w:tcW w:w="827" w:type="dxa"/>
            <w:vAlign w:val="center"/>
          </w:tcPr>
          <w:p w14:paraId="54D4024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10" w:type="dxa"/>
            <w:vAlign w:val="center"/>
          </w:tcPr>
          <w:p w14:paraId="5BC0963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A1AD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7F79A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6501" w:type="dxa"/>
            <w:gridSpan w:val="2"/>
            <w:vAlign w:val="center"/>
          </w:tcPr>
          <w:p w14:paraId="73FF981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合计</w:t>
            </w:r>
          </w:p>
        </w:tc>
        <w:tc>
          <w:tcPr>
            <w:tcW w:w="827" w:type="dxa"/>
            <w:vAlign w:val="center"/>
          </w:tcPr>
          <w:p w14:paraId="1669F1A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710" w:type="dxa"/>
            <w:vAlign w:val="center"/>
          </w:tcPr>
          <w:p w14:paraId="6FDF567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3F1C4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46D4D8E4">
      <w:pPr>
        <w:pStyle w:val="10"/>
        <w:keepNext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textAlignment w:val="baseline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二）课程内容</w:t>
      </w:r>
    </w:p>
    <w:p w14:paraId="35AF177A">
      <w:pPr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520" w:lineRule="exact"/>
        <w:jc w:val="center"/>
        <w:textAlignment w:val="baseline"/>
        <w:rPr>
          <w:rFonts w:hint="eastAsia" w:ascii="楷体_GB2312" w:hAnsi="楷体_GB2312" w:eastAsia="楷体_GB2312" w:cs="楷体_GB2312"/>
          <w:spacing w:val="-4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>表</w:t>
      </w:r>
      <w:r>
        <w:rPr>
          <w:rFonts w:hint="eastAsia" w:ascii="楷体_GB2312" w:hAnsi="楷体_GB2312" w:eastAsia="楷体_GB2312" w:cs="楷体_GB2312"/>
          <w:spacing w:val="-4"/>
          <w:sz w:val="28"/>
          <w:szCs w:val="28"/>
          <w:lang w:val="en-US" w:eastAsia="zh-CN"/>
        </w:rPr>
        <w:t xml:space="preserve">3 </w:t>
      </w: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>课程</w:t>
      </w:r>
      <w:r>
        <w:rPr>
          <w:rFonts w:hint="eastAsia" w:ascii="楷体_GB2312" w:hAnsi="楷体_GB2312" w:eastAsia="楷体_GB2312" w:cs="楷体_GB2312"/>
          <w:spacing w:val="-4"/>
          <w:sz w:val="28"/>
          <w:szCs w:val="28"/>
          <w:lang w:val="en-US" w:eastAsia="zh-CN"/>
        </w:rPr>
        <w:t>内容</w:t>
      </w:r>
    </w:p>
    <w:tbl>
      <w:tblPr>
        <w:tblStyle w:val="12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099"/>
        <w:gridCol w:w="2132"/>
        <w:gridCol w:w="2034"/>
      </w:tblGrid>
      <w:tr w14:paraId="7263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624" w:type="dxa"/>
            <w:vAlign w:val="center"/>
          </w:tcPr>
          <w:p w14:paraId="7AF0BEB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模块一</w:t>
            </w:r>
          </w:p>
        </w:tc>
        <w:tc>
          <w:tcPr>
            <w:tcW w:w="3099" w:type="dxa"/>
            <w:vAlign w:val="center"/>
          </w:tcPr>
          <w:p w14:paraId="09A7322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新能源汽车维护作业</w:t>
            </w:r>
          </w:p>
        </w:tc>
        <w:tc>
          <w:tcPr>
            <w:tcW w:w="2132" w:type="dxa"/>
            <w:vAlign w:val="center"/>
          </w:tcPr>
          <w:p w14:paraId="3B1D7E2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课时数</w:t>
            </w:r>
          </w:p>
        </w:tc>
        <w:tc>
          <w:tcPr>
            <w:tcW w:w="2034" w:type="dxa"/>
            <w:vAlign w:val="center"/>
          </w:tcPr>
          <w:p w14:paraId="6B269F2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9</w:t>
            </w:r>
          </w:p>
        </w:tc>
      </w:tr>
      <w:tr w14:paraId="66E0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1624" w:type="dxa"/>
            <w:vAlign w:val="center"/>
          </w:tcPr>
          <w:p w14:paraId="660A13A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学习目标</w:t>
            </w:r>
          </w:p>
        </w:tc>
        <w:tc>
          <w:tcPr>
            <w:tcW w:w="7265" w:type="dxa"/>
            <w:gridSpan w:val="3"/>
            <w:vAlign w:val="center"/>
          </w:tcPr>
          <w:p w14:paraId="1CD21BF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1.掌握新能源汽车维护作业流程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。</w:t>
            </w:r>
          </w:p>
          <w:p w14:paraId="32D31ED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会操作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万用表、示波器、诊断仪、绝缘电阻测试仪、接地电阻测试仪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。</w:t>
            </w:r>
          </w:p>
          <w:p w14:paraId="525874A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.掌握纯电动汽车保养维护作业流程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。</w:t>
            </w:r>
          </w:p>
          <w:p w14:paraId="50E97D8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会制定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混合动力汽车保养维护作业流程。</w:t>
            </w:r>
          </w:p>
        </w:tc>
      </w:tr>
      <w:tr w14:paraId="5E11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1624" w:type="dxa"/>
            <w:vAlign w:val="center"/>
          </w:tcPr>
          <w:p w14:paraId="7EC54AB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教学活动设计（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zh-CN"/>
              </w:rPr>
              <w:t>含课程思政设计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265" w:type="dxa"/>
            <w:gridSpan w:val="3"/>
            <w:vAlign w:val="center"/>
          </w:tcPr>
          <w:p w14:paraId="492872D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default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利用线上资源、智慧课堂等进行翻转教学、混合式教学等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提前将汽车维护作业流程及万用表、示波器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等仪器操作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视频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相关资源上传到智慧课堂，学生课前自主学习；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教师课堂上进行重点示范操作，并对学生进行现场指导。</w:t>
            </w:r>
          </w:p>
          <w:p w14:paraId="64A9D46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学生在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课堂上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操作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万用表、示波器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等仪器进行故障检测，小组合作完成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新能源汽车保养维护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流程的任务单填写并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上传到智慧课堂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。</w:t>
            </w:r>
          </w:p>
          <w:p w14:paraId="79813C1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学生在反复实操过程中养成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严谨规范的操作习惯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，在小组制定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维护作业流程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中培养学生既能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独立钻研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又能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协作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细致耐心、精益求精，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坚守质量底线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。</w:t>
            </w:r>
          </w:p>
        </w:tc>
      </w:tr>
      <w:tr w14:paraId="4F26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624" w:type="dxa"/>
            <w:vAlign w:val="center"/>
          </w:tcPr>
          <w:p w14:paraId="24A4CAF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教学方法</w:t>
            </w:r>
          </w:p>
        </w:tc>
        <w:tc>
          <w:tcPr>
            <w:tcW w:w="7265" w:type="dxa"/>
            <w:gridSpan w:val="3"/>
            <w:shd w:val="clear" w:color="auto" w:fill="auto"/>
            <w:vAlign w:val="center"/>
          </w:tcPr>
          <w:p w14:paraId="6337711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课堂讲授、任务驱动、案例教学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、实操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训练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情境模拟</w:t>
            </w:r>
          </w:p>
        </w:tc>
      </w:tr>
      <w:tr w14:paraId="5127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624" w:type="dxa"/>
            <w:vAlign w:val="center"/>
          </w:tcPr>
          <w:p w14:paraId="143A694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教学条件</w:t>
            </w:r>
          </w:p>
        </w:tc>
        <w:tc>
          <w:tcPr>
            <w:tcW w:w="7265" w:type="dxa"/>
            <w:gridSpan w:val="3"/>
            <w:shd w:val="clear" w:color="auto" w:fill="auto"/>
            <w:vAlign w:val="center"/>
          </w:tcPr>
          <w:p w14:paraId="1F74328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多媒体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教室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、汽车实训室、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万用表、示波器、诊断仪、电阻测试仪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等</w:t>
            </w:r>
          </w:p>
        </w:tc>
      </w:tr>
      <w:tr w14:paraId="73E9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624" w:type="dxa"/>
            <w:vAlign w:val="center"/>
          </w:tcPr>
          <w:p w14:paraId="0249B48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模块二</w:t>
            </w:r>
          </w:p>
        </w:tc>
        <w:tc>
          <w:tcPr>
            <w:tcW w:w="3099" w:type="dxa"/>
            <w:vAlign w:val="center"/>
          </w:tcPr>
          <w:p w14:paraId="07EA97F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en-US"/>
              </w:rPr>
              <w:t>纯电动汽车故障诊断与检修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A3E46B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课时数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2DC9C1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44</w:t>
            </w:r>
          </w:p>
        </w:tc>
      </w:tr>
      <w:tr w14:paraId="0A7C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24" w:type="dxa"/>
            <w:vAlign w:val="center"/>
          </w:tcPr>
          <w:p w14:paraId="71D5EEE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教学活动设计</w:t>
            </w:r>
          </w:p>
        </w:tc>
        <w:tc>
          <w:tcPr>
            <w:tcW w:w="7265" w:type="dxa"/>
            <w:gridSpan w:val="3"/>
            <w:vAlign w:val="center"/>
          </w:tcPr>
          <w:p w14:paraId="28CA184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</w:p>
        </w:tc>
      </w:tr>
      <w:tr w14:paraId="6625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24" w:type="dxa"/>
            <w:vAlign w:val="center"/>
          </w:tcPr>
          <w:p w14:paraId="3F1623B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教学方法</w:t>
            </w:r>
          </w:p>
        </w:tc>
        <w:tc>
          <w:tcPr>
            <w:tcW w:w="7265" w:type="dxa"/>
            <w:gridSpan w:val="3"/>
            <w:vAlign w:val="center"/>
          </w:tcPr>
          <w:p w14:paraId="5622499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</w:p>
        </w:tc>
      </w:tr>
      <w:tr w14:paraId="3EC7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24" w:type="dxa"/>
            <w:vAlign w:val="center"/>
          </w:tcPr>
          <w:p w14:paraId="75C7BED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教学条件</w:t>
            </w:r>
          </w:p>
        </w:tc>
        <w:tc>
          <w:tcPr>
            <w:tcW w:w="7265" w:type="dxa"/>
            <w:gridSpan w:val="3"/>
            <w:vAlign w:val="center"/>
          </w:tcPr>
          <w:p w14:paraId="49FE60B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FangSong_GB2312" w:cs="仿宋_GB2312"/>
                <w:spacing w:val="-8"/>
                <w:sz w:val="24"/>
                <w:szCs w:val="24"/>
                <w:lang w:val="en-US" w:eastAsia="zh-CN"/>
              </w:rPr>
            </w:pPr>
          </w:p>
        </w:tc>
      </w:tr>
      <w:tr w14:paraId="2B12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24" w:type="dxa"/>
            <w:vAlign w:val="center"/>
          </w:tcPr>
          <w:p w14:paraId="037876B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教学活动设计</w:t>
            </w:r>
          </w:p>
        </w:tc>
        <w:tc>
          <w:tcPr>
            <w:tcW w:w="7265" w:type="dxa"/>
            <w:gridSpan w:val="3"/>
            <w:vAlign w:val="center"/>
          </w:tcPr>
          <w:p w14:paraId="2938FDB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</w:p>
        </w:tc>
      </w:tr>
    </w:tbl>
    <w:p w14:paraId="0539606F">
      <w:pPr>
        <w:pStyle w:val="10"/>
        <w:keepNext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20" w:lineRule="exact"/>
        <w:ind w:left="0" w:leftChars="0" w:firstLine="556" w:firstLineChars="200"/>
        <w:textAlignment w:val="baseline"/>
        <w:rPr>
          <w:rFonts w:hint="default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bookmarkStart w:id="12" w:name="_Toc28642"/>
      <w:bookmarkStart w:id="13" w:name="_Toc6705"/>
      <w:bookmarkStart w:id="14" w:name="_Toc30367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五、学生考核与评价</w:t>
      </w:r>
    </w:p>
    <w:p w14:paraId="656EAAB0">
      <w:pPr>
        <w:pStyle w:val="13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  <w:sz w:val="28"/>
          <w:szCs w:val="28"/>
          <w:highlight w:val="yellow"/>
          <w:lang w:val="en-US" w:eastAsia="en-US"/>
        </w:rPr>
      </w:pPr>
      <w:r>
        <w:rPr>
          <w:sz w:val="28"/>
          <w:szCs w:val="28"/>
        </w:rPr>
        <w:t>本课程</w:t>
      </w:r>
      <w:r>
        <w:rPr>
          <w:rFonts w:hint="default"/>
          <w:sz w:val="28"/>
          <w:szCs w:val="28"/>
          <w:lang w:val="en-US" w:eastAsia="zh-CN"/>
        </w:rPr>
        <w:t>充分利用数字技术，提高</w:t>
      </w:r>
      <w:r>
        <w:rPr>
          <w:rFonts w:hint="eastAsia"/>
          <w:sz w:val="28"/>
          <w:szCs w:val="28"/>
          <w:lang w:val="en-US" w:eastAsia="zh-CN"/>
        </w:rPr>
        <w:t>考核</w:t>
      </w:r>
      <w:r>
        <w:rPr>
          <w:rFonts w:hint="default"/>
          <w:sz w:val="28"/>
          <w:szCs w:val="28"/>
          <w:lang w:val="en-US" w:eastAsia="zh-CN"/>
        </w:rPr>
        <w:t>评价的科学性、专业性、客观性。</w:t>
      </w:r>
      <w:r>
        <w:rPr>
          <w:rFonts w:hint="eastAsia"/>
          <w:sz w:val="28"/>
          <w:szCs w:val="28"/>
          <w:lang w:val="en-US" w:eastAsia="zh-CN"/>
        </w:rPr>
        <w:t>采用</w:t>
      </w:r>
      <w:r>
        <w:rPr>
          <w:sz w:val="28"/>
          <w:szCs w:val="28"/>
        </w:rPr>
        <w:t>过程考核与</w:t>
      </w:r>
      <w:r>
        <w:rPr>
          <w:rFonts w:hint="eastAsia"/>
          <w:sz w:val="28"/>
          <w:szCs w:val="28"/>
          <w:lang w:val="en-US" w:eastAsia="zh-CN"/>
        </w:rPr>
        <w:t>结果</w:t>
      </w:r>
      <w:r>
        <w:rPr>
          <w:sz w:val="28"/>
          <w:szCs w:val="28"/>
        </w:rPr>
        <w:t>考核相结合的方式对学生进行考核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过程考核占50%，期末笔试50%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default"/>
          <w:sz w:val="28"/>
          <w:szCs w:val="28"/>
          <w:lang w:val="en-US" w:eastAsia="zh-CN"/>
        </w:rPr>
        <w:t>强化过程评价，改进结果评价，探索增值评价，健全综合评价。</w:t>
      </w:r>
      <w:r>
        <w:rPr>
          <w:sz w:val="28"/>
          <w:szCs w:val="28"/>
        </w:rPr>
        <w:t>增值性评价采用电子问卷形式进行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包括学生职业能力增值和个体综合素养增值等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体现出学生在原有基础上的成长、发展的增值情况</w:t>
      </w:r>
      <w:r>
        <w:rPr>
          <w:rFonts w:hint="eastAsia"/>
          <w:sz w:val="28"/>
          <w:szCs w:val="28"/>
          <w:lang w:eastAsia="zh-CN"/>
        </w:rPr>
        <w:t>。</w:t>
      </w:r>
    </w:p>
    <w:bookmarkEnd w:id="12"/>
    <w:bookmarkEnd w:id="13"/>
    <w:bookmarkEnd w:id="14"/>
    <w:p w14:paraId="5FCF76A8">
      <w:pPr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520" w:lineRule="exact"/>
        <w:ind w:left="3395"/>
        <w:textAlignment w:val="baseline"/>
        <w:rPr>
          <w:rFonts w:hint="eastAsia" w:ascii="楷体_GB2312" w:hAnsi="楷体_GB2312" w:eastAsia="楷体_GB2312" w:cs="楷体_GB2312"/>
          <w:spacing w:val="-4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 xml:space="preserve">表4 </w:t>
      </w:r>
      <w:r>
        <w:rPr>
          <w:rFonts w:hint="eastAsia" w:ascii="楷体_GB2312" w:hAnsi="楷体_GB2312" w:eastAsia="楷体_GB2312" w:cs="楷体_GB2312"/>
          <w:spacing w:val="-4"/>
          <w:sz w:val="28"/>
          <w:szCs w:val="28"/>
          <w:lang w:val="en-US" w:eastAsia="zh-CN"/>
        </w:rPr>
        <w:t>学生考核与</w:t>
      </w: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>评价</w:t>
      </w:r>
    </w:p>
    <w:tbl>
      <w:tblPr>
        <w:tblStyle w:val="12"/>
        <w:tblW w:w="88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356"/>
        <w:gridCol w:w="4080"/>
        <w:gridCol w:w="2247"/>
      </w:tblGrid>
      <w:tr w14:paraId="3E768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95" w:type="dxa"/>
            <w:vAlign w:val="center"/>
          </w:tcPr>
          <w:p w14:paraId="6F0D8E9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考核项目</w:t>
            </w:r>
          </w:p>
        </w:tc>
        <w:tc>
          <w:tcPr>
            <w:tcW w:w="1356" w:type="dxa"/>
            <w:vAlign w:val="center"/>
          </w:tcPr>
          <w:p w14:paraId="388F5BD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考核方式（100%）</w:t>
            </w:r>
          </w:p>
        </w:tc>
        <w:tc>
          <w:tcPr>
            <w:tcW w:w="4080" w:type="dxa"/>
            <w:vAlign w:val="center"/>
          </w:tcPr>
          <w:p w14:paraId="6528837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评价要素</w:t>
            </w:r>
          </w:p>
        </w:tc>
        <w:tc>
          <w:tcPr>
            <w:tcW w:w="2247" w:type="dxa"/>
            <w:vAlign w:val="center"/>
          </w:tcPr>
          <w:p w14:paraId="1188C156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评价方法</w:t>
            </w:r>
          </w:p>
        </w:tc>
      </w:tr>
      <w:tr w14:paraId="04519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195" w:type="dxa"/>
            <w:vMerge w:val="restart"/>
            <w:tcBorders>
              <w:bottom w:val="nil"/>
            </w:tcBorders>
            <w:vAlign w:val="center"/>
          </w:tcPr>
          <w:p w14:paraId="2AC68F7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过程考核（50%）</w:t>
            </w:r>
          </w:p>
        </w:tc>
        <w:tc>
          <w:tcPr>
            <w:tcW w:w="1356" w:type="dxa"/>
            <w:vAlign w:val="center"/>
          </w:tcPr>
          <w:p w14:paraId="171B10A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增值性评价（10%）</w:t>
            </w:r>
          </w:p>
        </w:tc>
        <w:tc>
          <w:tcPr>
            <w:tcW w:w="4080" w:type="dxa"/>
            <w:vAlign w:val="center"/>
          </w:tcPr>
          <w:p w14:paraId="69E160D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学生学习积极性、主动性提高，职业能力提高，团队合作及沟通交流能力提升，综 合素养提升。</w:t>
            </w:r>
          </w:p>
        </w:tc>
        <w:tc>
          <w:tcPr>
            <w:tcW w:w="2247" w:type="dxa"/>
            <w:vAlign w:val="center"/>
          </w:tcPr>
          <w:p w14:paraId="1565B62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电子问卷</w:t>
            </w:r>
          </w:p>
        </w:tc>
      </w:tr>
      <w:tr w14:paraId="79C20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195" w:type="dxa"/>
            <w:vMerge w:val="continue"/>
            <w:tcBorders>
              <w:top w:val="nil"/>
              <w:bottom w:val="nil"/>
            </w:tcBorders>
            <w:vAlign w:val="center"/>
          </w:tcPr>
          <w:p w14:paraId="10F7F7D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56" w:type="dxa"/>
            <w:vAlign w:val="center"/>
          </w:tcPr>
          <w:p w14:paraId="29AC33D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综合表现（10%）</w:t>
            </w:r>
          </w:p>
        </w:tc>
        <w:tc>
          <w:tcPr>
            <w:tcW w:w="4080" w:type="dxa"/>
            <w:vAlign w:val="center"/>
          </w:tcPr>
          <w:p w14:paraId="51E3270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课堂出勤率、课后作业完成率、课堂互动、团队协作、创新建议、作业完成率、上交及时率、正确率</w:t>
            </w:r>
          </w:p>
        </w:tc>
        <w:tc>
          <w:tcPr>
            <w:tcW w:w="2247" w:type="dxa"/>
            <w:vAlign w:val="center"/>
          </w:tcPr>
          <w:p w14:paraId="55794CA6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考勤、自评、小组</w:t>
            </w:r>
          </w:p>
          <w:p w14:paraId="487AD97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评价</w:t>
            </w:r>
          </w:p>
        </w:tc>
      </w:tr>
      <w:tr w14:paraId="1577F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1195" w:type="dxa"/>
            <w:vMerge w:val="continue"/>
            <w:tcBorders>
              <w:top w:val="nil"/>
            </w:tcBorders>
            <w:vAlign w:val="center"/>
          </w:tcPr>
          <w:p w14:paraId="30206D0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56" w:type="dxa"/>
            <w:vAlign w:val="center"/>
          </w:tcPr>
          <w:p w14:paraId="1CF1A16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核心技能考核（30%）</w:t>
            </w:r>
          </w:p>
        </w:tc>
        <w:tc>
          <w:tcPr>
            <w:tcW w:w="4080" w:type="dxa"/>
            <w:vAlign w:val="center"/>
          </w:tcPr>
          <w:p w14:paraId="0504DB19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实训任务参与情况、实训内容完成情况、技巧、操作过程是否规范、完成的质量及工具设备正确使用情况、5S等。</w:t>
            </w:r>
          </w:p>
        </w:tc>
        <w:tc>
          <w:tcPr>
            <w:tcW w:w="2247" w:type="dxa"/>
            <w:vAlign w:val="center"/>
          </w:tcPr>
          <w:p w14:paraId="24D9C0D6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学生展示、挑战最</w:t>
            </w:r>
          </w:p>
          <w:p w14:paraId="7C75EA24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高分、教师点评</w:t>
            </w:r>
          </w:p>
        </w:tc>
      </w:tr>
      <w:tr w14:paraId="1E96E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195" w:type="dxa"/>
            <w:vAlign w:val="center"/>
          </w:tcPr>
          <w:p w14:paraId="56C2ACA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考核（50%）</w:t>
            </w:r>
          </w:p>
        </w:tc>
        <w:tc>
          <w:tcPr>
            <w:tcW w:w="1356" w:type="dxa"/>
            <w:vAlign w:val="center"/>
          </w:tcPr>
          <w:p w14:paraId="59600C7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期末考试（50%）</w:t>
            </w:r>
          </w:p>
        </w:tc>
        <w:tc>
          <w:tcPr>
            <w:tcW w:w="4080" w:type="dxa"/>
            <w:vAlign w:val="center"/>
          </w:tcPr>
          <w:p w14:paraId="4A39EAD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试题库规范化、标准化、科学化。基础理论知识比重70%，实践操作步骤、技巧、注意事项等知识比重30%。</w:t>
            </w:r>
          </w:p>
        </w:tc>
        <w:tc>
          <w:tcPr>
            <w:tcW w:w="2247" w:type="dxa"/>
            <w:vAlign w:val="center"/>
          </w:tcPr>
          <w:p w14:paraId="613DA22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题型有：填空题、选择题、判断题、简答题、综合分析题</w:t>
            </w:r>
          </w:p>
        </w:tc>
      </w:tr>
    </w:tbl>
    <w:p w14:paraId="65652234">
      <w:pPr>
        <w:pStyle w:val="10"/>
        <w:keepNext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20" w:lineRule="exact"/>
        <w:ind w:left="0" w:leftChars="0" w:firstLine="556" w:firstLineChars="200"/>
        <w:textAlignment w:val="baseline"/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bookmarkStart w:id="15" w:name="_Toc12526"/>
      <w:bookmarkStart w:id="16" w:name="_Toc6552"/>
      <w:bookmarkStart w:id="17" w:name="_Toc15656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六.教材及其他教学资源</w:t>
      </w:r>
      <w:bookmarkEnd w:id="15"/>
      <w:bookmarkEnd w:id="16"/>
      <w:bookmarkEnd w:id="17"/>
    </w:p>
    <w:p w14:paraId="087AEDF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1.使用教材</w:t>
      </w:r>
    </w:p>
    <w:p w14:paraId="79000B2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《新能源汽车维护与故障诊断》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 xml:space="preserve">主编 </w:t>
      </w:r>
      <w:r>
        <w:rPr>
          <w:sz w:val="28"/>
          <w:szCs w:val="28"/>
        </w:rPr>
        <w:t>王强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机械工业出版社有限公司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  <w:lang w:val="en-US" w:eastAsia="zh-CN"/>
        </w:rPr>
        <w:t>年出版</w:t>
      </w:r>
      <w:r>
        <w:rPr>
          <w:rFonts w:hint="eastAsia"/>
          <w:sz w:val="28"/>
          <w:szCs w:val="28"/>
          <w:lang w:eastAsia="zh-CN"/>
        </w:rPr>
        <w:t>。</w:t>
      </w:r>
    </w:p>
    <w:p w14:paraId="1F28850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2.参考书</w:t>
      </w:r>
    </w:p>
    <w:p w14:paraId="6B419F9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《</w:t>
      </w:r>
      <w:r>
        <w:rPr>
          <w:sz w:val="28"/>
          <w:szCs w:val="28"/>
        </w:rPr>
        <w:t>新能源汽车维护与检测诊断</w:t>
      </w:r>
      <w:r>
        <w:rPr>
          <w:rFonts w:hint="eastAsia"/>
          <w:sz w:val="28"/>
          <w:szCs w:val="28"/>
          <w:lang w:eastAsia="zh-CN"/>
        </w:rPr>
        <w:t>》，</w:t>
      </w:r>
      <w:r>
        <w:rPr>
          <w:rFonts w:hint="eastAsia"/>
          <w:sz w:val="28"/>
          <w:szCs w:val="28"/>
          <w:lang w:val="en-US" w:eastAsia="zh-CN"/>
        </w:rPr>
        <w:t xml:space="preserve">主编 </w:t>
      </w:r>
      <w:r>
        <w:rPr>
          <w:sz w:val="28"/>
          <w:szCs w:val="28"/>
        </w:rPr>
        <w:t>夏令伟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人民交通出版社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  <w:lang w:val="en-US" w:eastAsia="zh-CN"/>
        </w:rPr>
        <w:t>年出版</w:t>
      </w:r>
      <w:r>
        <w:rPr>
          <w:rFonts w:hint="eastAsia"/>
          <w:sz w:val="28"/>
          <w:szCs w:val="28"/>
          <w:lang w:eastAsia="zh-CN"/>
        </w:rPr>
        <w:t>。</w:t>
      </w:r>
    </w:p>
    <w:p w14:paraId="633ED0F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3.其它资源</w:t>
      </w:r>
    </w:p>
    <w:p w14:paraId="5285329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sz w:val="28"/>
          <w:szCs w:val="28"/>
        </w:rPr>
      </w:pPr>
      <w:r>
        <w:rPr>
          <w:sz w:val="28"/>
          <w:szCs w:val="28"/>
        </w:rPr>
        <w:t>智慧职教教学资源库，新能源汽车综合故障诊断与检修课程。网址：</w:t>
      </w:r>
    </w:p>
    <w:p w14:paraId="0D1998E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"https://www.icve.com.cn/portal_new/courseinfo/?courseid=mzawaxs25dhh7ioavq"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https://www.icve.com.cn/portal_new/courseinfo/?course id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"https://www.icve.com.cn/portal_new/courseinfo/?courseid=mzawaxs25dhh7ioavq"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=mzawaxs25dhh7ioavq</w:t>
      </w:r>
      <w:r>
        <w:rPr>
          <w:sz w:val="28"/>
          <w:szCs w:val="28"/>
        </w:rPr>
        <w:fldChar w:fldCharType="end"/>
      </w:r>
    </w:p>
    <w:p w14:paraId="2614A898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73738BCD"/>
    <w:p w14:paraId="33142A0F">
      <w:r>
        <w:br w:type="page"/>
      </w:r>
    </w:p>
    <w:p w14:paraId="0320E3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98803D-FBD2-4933-AC59-D1CFD1C25D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84327F-A1E6-4835-A3A4-A9D2A60850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DA902E4-406E-451E-A0C1-95BC8789417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702CD09-3DA2-449A-9536-447357A3B93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3D0C389-53B1-4115-A82B-861D63F90C70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3B155556-CDF0-4EE4-BAFC-5A76DE901E4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B4FF96C2-01E4-44F5-912B-811EB46617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E6D9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2612390</wp:posOffset>
              </wp:positionH>
              <wp:positionV relativeFrom="paragraph">
                <wp:posOffset>-108585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876A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7pt;margin-top:-8.5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4oXXXYAAAACwEAAA8AAAAAAAAAAQAgAAAAIgAAAGRycy9kb3ducmV2Lnht&#10;bFBLAQIUABQAAAAIAIdO4kD1i4dk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1876A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E39C9"/>
    <w:multiLevelType w:val="singleLevel"/>
    <w:tmpl w:val="BE0E39C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A0172"/>
    <w:rsid w:val="2CDA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24"/>
      <w:lang w:val="en-US" w:eastAsia="zh-CN" w:bidi="ar"/>
    </w:rPr>
  </w:style>
  <w:style w:type="paragraph" w:customStyle="1" w:styleId="9">
    <w:name w:val="一级标题"/>
    <w:basedOn w:val="2"/>
    <w:next w:val="1"/>
    <w:qFormat/>
    <w:uiPriority w:val="0"/>
    <w:pPr>
      <w:kinsoku/>
      <w:spacing w:line="520" w:lineRule="exact"/>
      <w:ind w:firstLine="592" w:firstLineChars="200"/>
    </w:pPr>
    <w:rPr>
      <w:rFonts w:ascii="黑体" w:hAnsi="黑体" w:eastAsia="黑体" w:cs="黑体"/>
      <w:spacing w:val="-2"/>
      <w:sz w:val="30"/>
      <w:szCs w:val="30"/>
    </w:rPr>
  </w:style>
  <w:style w:type="paragraph" w:customStyle="1" w:styleId="10">
    <w:name w:val="二级标题"/>
    <w:basedOn w:val="3"/>
    <w:qFormat/>
    <w:uiPriority w:val="0"/>
    <w:pPr>
      <w:kinsoku/>
      <w:spacing w:before="0" w:after="0" w:line="520" w:lineRule="exact"/>
      <w:ind w:firstLine="596" w:firstLineChars="200"/>
    </w:pPr>
    <w:rPr>
      <w:rFonts w:ascii="楷体" w:hAnsi="楷体" w:eastAsia="楷体" w:cs="楷体"/>
      <w:spacing w:val="-1"/>
      <w:sz w:val="30"/>
      <w:szCs w:val="30"/>
    </w:rPr>
  </w:style>
  <w:style w:type="paragraph" w:customStyle="1" w:styleId="11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本文"/>
    <w:basedOn w:val="1"/>
    <w:next w:val="1"/>
    <w:qFormat/>
    <w:uiPriority w:val="0"/>
    <w:pPr>
      <w:kinsoku/>
      <w:spacing w:line="520" w:lineRule="exact"/>
      <w:ind w:left="0" w:right="0" w:firstLine="584" w:firstLineChars="200"/>
      <w:jc w:val="both"/>
    </w:pPr>
    <w:rPr>
      <w:rFonts w:hint="eastAsia" w:ascii="仿宋_GB2312" w:hAnsi="仿宋_GB2312" w:eastAsia="仿宋_GB2312" w:cs="仿宋_GB2312"/>
      <w:spacing w:val="-5"/>
      <w:sz w:val="30"/>
      <w:szCs w:val="30"/>
    </w:rPr>
  </w:style>
  <w:style w:type="paragraph" w:customStyle="1" w:styleId="14">
    <w:name w:val="三级标题"/>
    <w:basedOn w:val="4"/>
    <w:next w:val="1"/>
    <w:qFormat/>
    <w:uiPriority w:val="0"/>
    <w:pPr>
      <w:keepNext w:val="0"/>
      <w:keepLines w:val="0"/>
      <w:kinsoku/>
      <w:spacing w:before="0" w:after="0" w:line="520" w:lineRule="exact"/>
      <w:ind w:firstLine="576" w:firstLineChars="200"/>
    </w:pPr>
    <w:rPr>
      <w:rFonts w:ascii="仿宋_GB2312" w:hAnsi="仿宋_GB2312" w:eastAsia="仿宋_GB2312" w:cs="仿宋_GB2312"/>
      <w:spacing w:val="-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2026-02-01T02:01:00Z</dcterms:created>
  <dc:creator>勤劳的小秘疯</dc:creator>
  <cp:lastModifiedBy>勤劳的小秘疯</cp:lastModifiedBy>
  <dcterms:modified xsi:type="dcterms:W3CDTF">2026-02-01T02:02:30Z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B8016A50D6EE44F7BC2A8766246513EA_11</vt:lpwstr>
  </property>
  <property fmtid="{D5CDD505-2E9C-101B-9397-08002B2CF9AE}" pid="4" name="KSOTemplateDocerSaveRecord">
    <vt:lpwstr>eyJoZGlkIjoiNTNjMGY1Njk1NTZkZDkxZjUwMTk5NTc1NmNjMmVlMmMiLCJ1c2VySWQiOiIyODc4MDI1MTUifQ==</vt:lpwstr>
  </property>
</Properties>
</file>